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2ABB" w14:textId="77777777" w:rsidR="007C2FE9" w:rsidRDefault="007C2FE9">
      <w:pPr>
        <w:pStyle w:val="Title"/>
        <w:spacing w:after="60"/>
        <w:rPr>
          <w:sz w:val="30"/>
          <w:szCs w:val="30"/>
        </w:rPr>
      </w:pPr>
      <w:bookmarkStart w:id="0" w:name="_Toc233805746"/>
    </w:p>
    <w:p w14:paraId="590CEEE4" w14:textId="77777777" w:rsidR="007C2FE9" w:rsidRDefault="007C2FE9">
      <w:pPr>
        <w:pStyle w:val="Title"/>
        <w:spacing w:after="60"/>
        <w:rPr>
          <w:sz w:val="30"/>
          <w:szCs w:val="30"/>
        </w:rPr>
      </w:pPr>
    </w:p>
    <w:p w14:paraId="3B467D98" w14:textId="1E0C4DAF" w:rsidR="001C184C" w:rsidRPr="007C2FE9" w:rsidRDefault="00000000" w:rsidP="007C2FE9">
      <w:pPr>
        <w:pStyle w:val="Title"/>
        <w:rPr>
          <w:b w:val="0"/>
          <w:bCs w:val="0"/>
        </w:rPr>
      </w:pPr>
      <w:r w:rsidRPr="007C2FE9">
        <w:rPr>
          <w:b w:val="0"/>
          <w:bCs w:val="0"/>
        </w:rPr>
        <w:t>Australian Disability Network</w:t>
      </w:r>
      <w:bookmarkEnd w:id="0"/>
    </w:p>
    <w:p w14:paraId="1A4CF77B" w14:textId="77777777" w:rsidR="001C184C" w:rsidRPr="007C2FE9" w:rsidRDefault="00000000">
      <w:pPr>
        <w:spacing w:after="300"/>
      </w:pPr>
      <w:r w:rsidRPr="007C2FE9">
        <w:rPr>
          <w:sz w:val="40"/>
          <w:szCs w:val="40"/>
        </w:rPr>
        <w:t>Strategy 2026–29</w:t>
      </w:r>
    </w:p>
    <w:p w14:paraId="3E0EBCE1" w14:textId="77777777" w:rsidR="001C184C" w:rsidRDefault="00000000">
      <w:pPr>
        <w:pStyle w:val="Heading1"/>
      </w:pPr>
      <w:bookmarkStart w:id="1" w:name="_Toc233805747"/>
      <w:r>
        <w:t>Contents</w:t>
      </w:r>
      <w:bookmarkEnd w:id="1"/>
    </w:p>
    <w:sdt>
      <w:sdtPr>
        <w:alias w:val="Contents"/>
        <w:id w:val="-2146652191"/>
      </w:sdtPr>
      <w:sdtContent>
        <w:p w14:paraId="5670D975" w14:textId="0EB015E0" w:rsidR="007C2FE9" w:rsidRDefault="00000000" w:rsidP="007C2FE9">
          <w:pPr>
            <w:pStyle w:val="TOC1"/>
            <w:rPr>
              <w:noProof/>
            </w:rPr>
          </w:pPr>
          <w:r>
            <w:fldChar w:fldCharType="begin"/>
          </w:r>
          <w:r>
            <w:instrText>TOC \h \o "1-3"</w:instrText>
          </w:r>
          <w:r>
            <w:fldChar w:fldCharType="separate"/>
          </w:r>
          <w:hyperlink w:anchor="_Toc233805746" w:history="1">
            <w:r w:rsidR="007C2FE9" w:rsidRPr="00A05C91">
              <w:rPr>
                <w:rStyle w:val="Hyperlink"/>
                <w:noProof/>
              </w:rPr>
              <w:t>Australian Disability Network</w:t>
            </w:r>
            <w:r w:rsidR="007C2FE9">
              <w:rPr>
                <w:noProof/>
              </w:rPr>
              <w:tab/>
            </w:r>
            <w:r w:rsidR="007C2FE9">
              <w:rPr>
                <w:noProof/>
              </w:rPr>
              <w:fldChar w:fldCharType="begin"/>
            </w:r>
            <w:r w:rsidR="007C2FE9">
              <w:rPr>
                <w:noProof/>
              </w:rPr>
              <w:instrText xml:space="preserve"> PAGEREF _Toc233805746 \h </w:instrText>
            </w:r>
            <w:r w:rsidR="007C2FE9">
              <w:rPr>
                <w:noProof/>
              </w:rPr>
            </w:r>
            <w:r w:rsidR="007C2FE9">
              <w:rPr>
                <w:noProof/>
              </w:rPr>
              <w:fldChar w:fldCharType="separate"/>
            </w:r>
            <w:r w:rsidR="007C2FE9">
              <w:rPr>
                <w:noProof/>
              </w:rPr>
              <w:t>1</w:t>
            </w:r>
            <w:r w:rsidR="007C2FE9">
              <w:rPr>
                <w:noProof/>
              </w:rPr>
              <w:fldChar w:fldCharType="end"/>
            </w:r>
          </w:hyperlink>
        </w:p>
        <w:p w14:paraId="42532F8D" w14:textId="0D11DFA5" w:rsidR="007C2FE9" w:rsidRDefault="007C2FE9" w:rsidP="007C2FE9">
          <w:pPr>
            <w:pStyle w:val="TOC1"/>
            <w:rPr>
              <w:noProof/>
            </w:rPr>
          </w:pPr>
          <w:hyperlink w:anchor="_Toc233805747" w:history="1">
            <w:r w:rsidRPr="00A05C91">
              <w:rPr>
                <w:rStyle w:val="Hyperlink"/>
                <w:noProof/>
              </w:rPr>
              <w:t>Contents</w:t>
            </w:r>
            <w:r>
              <w:rPr>
                <w:noProof/>
              </w:rPr>
              <w:tab/>
            </w:r>
            <w:r>
              <w:rPr>
                <w:noProof/>
              </w:rPr>
              <w:fldChar w:fldCharType="begin"/>
            </w:r>
            <w:r>
              <w:rPr>
                <w:noProof/>
              </w:rPr>
              <w:instrText xml:space="preserve"> PAGEREF _Toc233805747 \h </w:instrText>
            </w:r>
            <w:r>
              <w:rPr>
                <w:noProof/>
              </w:rPr>
            </w:r>
            <w:r>
              <w:rPr>
                <w:noProof/>
              </w:rPr>
              <w:fldChar w:fldCharType="separate"/>
            </w:r>
            <w:r>
              <w:rPr>
                <w:noProof/>
              </w:rPr>
              <w:t>1</w:t>
            </w:r>
            <w:r>
              <w:rPr>
                <w:noProof/>
              </w:rPr>
              <w:fldChar w:fldCharType="end"/>
            </w:r>
          </w:hyperlink>
        </w:p>
        <w:p w14:paraId="0C540A18" w14:textId="5C8B7F29" w:rsidR="007C2FE9" w:rsidRDefault="007C2FE9" w:rsidP="007C2FE9">
          <w:pPr>
            <w:pStyle w:val="TOC1"/>
            <w:rPr>
              <w:noProof/>
            </w:rPr>
          </w:pPr>
          <w:hyperlink w:anchor="_Toc233805748" w:history="1">
            <w:r w:rsidRPr="00A05C91">
              <w:rPr>
                <w:rStyle w:val="Hyperlink"/>
                <w:noProof/>
              </w:rPr>
              <w:t>Acknowledgement of Country</w:t>
            </w:r>
            <w:r>
              <w:rPr>
                <w:noProof/>
              </w:rPr>
              <w:tab/>
            </w:r>
            <w:r>
              <w:rPr>
                <w:noProof/>
              </w:rPr>
              <w:fldChar w:fldCharType="begin"/>
            </w:r>
            <w:r>
              <w:rPr>
                <w:noProof/>
              </w:rPr>
              <w:instrText xml:space="preserve"> PAGEREF _Toc233805748 \h </w:instrText>
            </w:r>
            <w:r>
              <w:rPr>
                <w:noProof/>
              </w:rPr>
            </w:r>
            <w:r>
              <w:rPr>
                <w:noProof/>
              </w:rPr>
              <w:fldChar w:fldCharType="separate"/>
            </w:r>
            <w:r>
              <w:rPr>
                <w:noProof/>
              </w:rPr>
              <w:t>2</w:t>
            </w:r>
            <w:r>
              <w:rPr>
                <w:noProof/>
              </w:rPr>
              <w:fldChar w:fldCharType="end"/>
            </w:r>
          </w:hyperlink>
        </w:p>
        <w:p w14:paraId="0F13F458" w14:textId="2D20AE8A" w:rsidR="007C2FE9" w:rsidRDefault="007C2FE9" w:rsidP="007C2FE9">
          <w:pPr>
            <w:pStyle w:val="TOC1"/>
            <w:rPr>
              <w:noProof/>
            </w:rPr>
          </w:pPr>
          <w:hyperlink w:anchor="_Toc233805749" w:history="1">
            <w:r w:rsidRPr="00A05C91">
              <w:rPr>
                <w:rStyle w:val="Hyperlink"/>
                <w:noProof/>
              </w:rPr>
              <w:t>Foreword</w:t>
            </w:r>
            <w:r>
              <w:rPr>
                <w:noProof/>
              </w:rPr>
              <w:tab/>
            </w:r>
            <w:r>
              <w:rPr>
                <w:noProof/>
              </w:rPr>
              <w:fldChar w:fldCharType="begin"/>
            </w:r>
            <w:r>
              <w:rPr>
                <w:noProof/>
              </w:rPr>
              <w:instrText xml:space="preserve"> PAGEREF _Toc233805749 \h </w:instrText>
            </w:r>
            <w:r>
              <w:rPr>
                <w:noProof/>
              </w:rPr>
            </w:r>
            <w:r>
              <w:rPr>
                <w:noProof/>
              </w:rPr>
              <w:fldChar w:fldCharType="separate"/>
            </w:r>
            <w:r>
              <w:rPr>
                <w:noProof/>
              </w:rPr>
              <w:t>2</w:t>
            </w:r>
            <w:r>
              <w:rPr>
                <w:noProof/>
              </w:rPr>
              <w:fldChar w:fldCharType="end"/>
            </w:r>
          </w:hyperlink>
        </w:p>
        <w:p w14:paraId="0B917B3C" w14:textId="4DA07822" w:rsidR="007C2FE9" w:rsidRDefault="007C2FE9">
          <w:pPr>
            <w:pStyle w:val="TOC2"/>
            <w:tabs>
              <w:tab w:val="right" w:leader="dot" w:pos="9350"/>
            </w:tabs>
            <w:rPr>
              <w:noProof/>
            </w:rPr>
          </w:pPr>
          <w:hyperlink w:anchor="_Toc233805750" w:history="1">
            <w:r w:rsidRPr="00A05C91">
              <w:rPr>
                <w:rStyle w:val="Hyperlink"/>
                <w:noProof/>
              </w:rPr>
              <w:t>Chair foreword</w:t>
            </w:r>
            <w:r>
              <w:rPr>
                <w:noProof/>
              </w:rPr>
              <w:tab/>
            </w:r>
            <w:r>
              <w:rPr>
                <w:noProof/>
              </w:rPr>
              <w:fldChar w:fldCharType="begin"/>
            </w:r>
            <w:r>
              <w:rPr>
                <w:noProof/>
              </w:rPr>
              <w:instrText xml:space="preserve"> PAGEREF _Toc233805750 \h </w:instrText>
            </w:r>
            <w:r>
              <w:rPr>
                <w:noProof/>
              </w:rPr>
            </w:r>
            <w:r>
              <w:rPr>
                <w:noProof/>
              </w:rPr>
              <w:fldChar w:fldCharType="separate"/>
            </w:r>
            <w:r>
              <w:rPr>
                <w:noProof/>
              </w:rPr>
              <w:t>2</w:t>
            </w:r>
            <w:r>
              <w:rPr>
                <w:noProof/>
              </w:rPr>
              <w:fldChar w:fldCharType="end"/>
            </w:r>
          </w:hyperlink>
        </w:p>
        <w:p w14:paraId="6731672A" w14:textId="103D72E7" w:rsidR="007C2FE9" w:rsidRDefault="007C2FE9">
          <w:pPr>
            <w:pStyle w:val="TOC2"/>
            <w:tabs>
              <w:tab w:val="right" w:leader="dot" w:pos="9350"/>
            </w:tabs>
            <w:rPr>
              <w:noProof/>
            </w:rPr>
          </w:pPr>
          <w:hyperlink w:anchor="_Toc233805751" w:history="1">
            <w:r w:rsidRPr="00A05C91">
              <w:rPr>
                <w:rStyle w:val="Hyperlink"/>
                <w:noProof/>
              </w:rPr>
              <w:t>CEO foreword</w:t>
            </w:r>
            <w:r>
              <w:rPr>
                <w:noProof/>
              </w:rPr>
              <w:tab/>
            </w:r>
            <w:r>
              <w:rPr>
                <w:noProof/>
              </w:rPr>
              <w:fldChar w:fldCharType="begin"/>
            </w:r>
            <w:r>
              <w:rPr>
                <w:noProof/>
              </w:rPr>
              <w:instrText xml:space="preserve"> PAGEREF _Toc233805751 \h </w:instrText>
            </w:r>
            <w:r>
              <w:rPr>
                <w:noProof/>
              </w:rPr>
            </w:r>
            <w:r>
              <w:rPr>
                <w:noProof/>
              </w:rPr>
              <w:fldChar w:fldCharType="separate"/>
            </w:r>
            <w:r>
              <w:rPr>
                <w:noProof/>
              </w:rPr>
              <w:t>3</w:t>
            </w:r>
            <w:r>
              <w:rPr>
                <w:noProof/>
              </w:rPr>
              <w:fldChar w:fldCharType="end"/>
            </w:r>
          </w:hyperlink>
        </w:p>
        <w:p w14:paraId="6D4FA333" w14:textId="300DBD16" w:rsidR="007C2FE9" w:rsidRDefault="007C2FE9" w:rsidP="007C2FE9">
          <w:pPr>
            <w:pStyle w:val="TOC1"/>
            <w:rPr>
              <w:noProof/>
            </w:rPr>
          </w:pPr>
          <w:hyperlink w:anchor="_Toc233805752" w:history="1">
            <w:r w:rsidRPr="00A05C91">
              <w:rPr>
                <w:rStyle w:val="Hyperlink"/>
                <w:noProof/>
              </w:rPr>
              <w:t>Our vision and purpose</w:t>
            </w:r>
            <w:r>
              <w:rPr>
                <w:noProof/>
              </w:rPr>
              <w:tab/>
            </w:r>
            <w:r>
              <w:rPr>
                <w:noProof/>
              </w:rPr>
              <w:fldChar w:fldCharType="begin"/>
            </w:r>
            <w:r>
              <w:rPr>
                <w:noProof/>
              </w:rPr>
              <w:instrText xml:space="preserve"> PAGEREF _Toc233805752 \h </w:instrText>
            </w:r>
            <w:r>
              <w:rPr>
                <w:noProof/>
              </w:rPr>
            </w:r>
            <w:r>
              <w:rPr>
                <w:noProof/>
              </w:rPr>
              <w:fldChar w:fldCharType="separate"/>
            </w:r>
            <w:r>
              <w:rPr>
                <w:noProof/>
              </w:rPr>
              <w:t>4</w:t>
            </w:r>
            <w:r>
              <w:rPr>
                <w:noProof/>
              </w:rPr>
              <w:fldChar w:fldCharType="end"/>
            </w:r>
          </w:hyperlink>
        </w:p>
        <w:p w14:paraId="2334DFC7" w14:textId="33348898" w:rsidR="007C2FE9" w:rsidRDefault="007C2FE9">
          <w:pPr>
            <w:pStyle w:val="TOC2"/>
            <w:tabs>
              <w:tab w:val="right" w:leader="dot" w:pos="9350"/>
            </w:tabs>
            <w:rPr>
              <w:noProof/>
            </w:rPr>
          </w:pPr>
          <w:hyperlink w:anchor="_Toc233805753" w:history="1">
            <w:r w:rsidRPr="00A05C91">
              <w:rPr>
                <w:rStyle w:val="Hyperlink"/>
                <w:noProof/>
              </w:rPr>
              <w:t>Our vision</w:t>
            </w:r>
            <w:r>
              <w:rPr>
                <w:noProof/>
              </w:rPr>
              <w:tab/>
            </w:r>
            <w:r>
              <w:rPr>
                <w:noProof/>
              </w:rPr>
              <w:fldChar w:fldCharType="begin"/>
            </w:r>
            <w:r>
              <w:rPr>
                <w:noProof/>
              </w:rPr>
              <w:instrText xml:space="preserve"> PAGEREF _Toc233805753 \h </w:instrText>
            </w:r>
            <w:r>
              <w:rPr>
                <w:noProof/>
              </w:rPr>
            </w:r>
            <w:r>
              <w:rPr>
                <w:noProof/>
              </w:rPr>
              <w:fldChar w:fldCharType="separate"/>
            </w:r>
            <w:r>
              <w:rPr>
                <w:noProof/>
              </w:rPr>
              <w:t>4</w:t>
            </w:r>
            <w:r>
              <w:rPr>
                <w:noProof/>
              </w:rPr>
              <w:fldChar w:fldCharType="end"/>
            </w:r>
          </w:hyperlink>
        </w:p>
        <w:p w14:paraId="3E799FB2" w14:textId="3273F9D1" w:rsidR="007C2FE9" w:rsidRDefault="007C2FE9">
          <w:pPr>
            <w:pStyle w:val="TOC2"/>
            <w:tabs>
              <w:tab w:val="right" w:leader="dot" w:pos="9350"/>
            </w:tabs>
            <w:rPr>
              <w:noProof/>
            </w:rPr>
          </w:pPr>
          <w:hyperlink w:anchor="_Toc233805754" w:history="1">
            <w:r w:rsidRPr="00A05C91">
              <w:rPr>
                <w:rStyle w:val="Hyperlink"/>
                <w:noProof/>
              </w:rPr>
              <w:t>Our purpose</w:t>
            </w:r>
            <w:r>
              <w:rPr>
                <w:noProof/>
              </w:rPr>
              <w:tab/>
            </w:r>
            <w:r>
              <w:rPr>
                <w:noProof/>
              </w:rPr>
              <w:fldChar w:fldCharType="begin"/>
            </w:r>
            <w:r>
              <w:rPr>
                <w:noProof/>
              </w:rPr>
              <w:instrText xml:space="preserve"> PAGEREF _Toc233805754 \h </w:instrText>
            </w:r>
            <w:r>
              <w:rPr>
                <w:noProof/>
              </w:rPr>
            </w:r>
            <w:r>
              <w:rPr>
                <w:noProof/>
              </w:rPr>
              <w:fldChar w:fldCharType="separate"/>
            </w:r>
            <w:r>
              <w:rPr>
                <w:noProof/>
              </w:rPr>
              <w:t>4</w:t>
            </w:r>
            <w:r>
              <w:rPr>
                <w:noProof/>
              </w:rPr>
              <w:fldChar w:fldCharType="end"/>
            </w:r>
          </w:hyperlink>
        </w:p>
        <w:p w14:paraId="5AF057AA" w14:textId="0964B46F" w:rsidR="007C2FE9" w:rsidRDefault="007C2FE9" w:rsidP="007C2FE9">
          <w:pPr>
            <w:pStyle w:val="TOC1"/>
            <w:rPr>
              <w:noProof/>
            </w:rPr>
          </w:pPr>
          <w:hyperlink w:anchor="_Toc233805755" w:history="1">
            <w:r w:rsidRPr="00A05C91">
              <w:rPr>
                <w:rStyle w:val="Hyperlink"/>
                <w:noProof/>
              </w:rPr>
              <w:t>Our values</w:t>
            </w:r>
            <w:r>
              <w:rPr>
                <w:noProof/>
              </w:rPr>
              <w:tab/>
            </w:r>
            <w:r>
              <w:rPr>
                <w:noProof/>
              </w:rPr>
              <w:fldChar w:fldCharType="begin"/>
            </w:r>
            <w:r>
              <w:rPr>
                <w:noProof/>
              </w:rPr>
              <w:instrText xml:space="preserve"> PAGEREF _Toc233805755 \h </w:instrText>
            </w:r>
            <w:r>
              <w:rPr>
                <w:noProof/>
              </w:rPr>
            </w:r>
            <w:r>
              <w:rPr>
                <w:noProof/>
              </w:rPr>
              <w:fldChar w:fldCharType="separate"/>
            </w:r>
            <w:r>
              <w:rPr>
                <w:noProof/>
              </w:rPr>
              <w:t>4</w:t>
            </w:r>
            <w:r>
              <w:rPr>
                <w:noProof/>
              </w:rPr>
              <w:fldChar w:fldCharType="end"/>
            </w:r>
          </w:hyperlink>
        </w:p>
        <w:p w14:paraId="797238C0" w14:textId="566AB7EE" w:rsidR="007C2FE9" w:rsidRDefault="007C2FE9" w:rsidP="007C2FE9">
          <w:pPr>
            <w:pStyle w:val="TOC1"/>
            <w:rPr>
              <w:noProof/>
            </w:rPr>
          </w:pPr>
          <w:hyperlink w:anchor="_Toc233805759" w:history="1">
            <w:r w:rsidRPr="00A05C91">
              <w:rPr>
                <w:rStyle w:val="Hyperlink"/>
                <w:noProof/>
              </w:rPr>
              <w:t>Our strategy</w:t>
            </w:r>
            <w:r>
              <w:rPr>
                <w:noProof/>
              </w:rPr>
              <w:tab/>
            </w:r>
            <w:r>
              <w:rPr>
                <w:noProof/>
              </w:rPr>
              <w:fldChar w:fldCharType="begin"/>
            </w:r>
            <w:r>
              <w:rPr>
                <w:noProof/>
              </w:rPr>
              <w:instrText xml:space="preserve"> PAGEREF _Toc233805759 \h </w:instrText>
            </w:r>
            <w:r>
              <w:rPr>
                <w:noProof/>
              </w:rPr>
            </w:r>
            <w:r>
              <w:rPr>
                <w:noProof/>
              </w:rPr>
              <w:fldChar w:fldCharType="separate"/>
            </w:r>
            <w:r>
              <w:rPr>
                <w:noProof/>
              </w:rPr>
              <w:t>6</w:t>
            </w:r>
            <w:r>
              <w:rPr>
                <w:noProof/>
              </w:rPr>
              <w:fldChar w:fldCharType="end"/>
            </w:r>
          </w:hyperlink>
        </w:p>
        <w:p w14:paraId="0D54DCC2" w14:textId="5C65B0EF" w:rsidR="007C2FE9" w:rsidRDefault="007C2FE9" w:rsidP="007C2FE9">
          <w:pPr>
            <w:pStyle w:val="TOC1"/>
            <w:rPr>
              <w:noProof/>
            </w:rPr>
          </w:pPr>
          <w:hyperlink w:anchor="_Toc233805782" w:history="1">
            <w:r w:rsidRPr="00A05C91">
              <w:rPr>
                <w:rStyle w:val="Hyperlink"/>
                <w:noProof/>
              </w:rPr>
              <w:t>About Australian Disability Network</w:t>
            </w:r>
            <w:r>
              <w:rPr>
                <w:noProof/>
              </w:rPr>
              <w:tab/>
            </w:r>
            <w:r>
              <w:rPr>
                <w:noProof/>
              </w:rPr>
              <w:fldChar w:fldCharType="begin"/>
            </w:r>
            <w:r>
              <w:rPr>
                <w:noProof/>
              </w:rPr>
              <w:instrText xml:space="preserve"> PAGEREF _Toc233805782 \h </w:instrText>
            </w:r>
            <w:r>
              <w:rPr>
                <w:noProof/>
              </w:rPr>
            </w:r>
            <w:r>
              <w:rPr>
                <w:noProof/>
              </w:rPr>
              <w:fldChar w:fldCharType="separate"/>
            </w:r>
            <w:r>
              <w:rPr>
                <w:noProof/>
              </w:rPr>
              <w:t>12</w:t>
            </w:r>
            <w:r>
              <w:rPr>
                <w:noProof/>
              </w:rPr>
              <w:fldChar w:fldCharType="end"/>
            </w:r>
          </w:hyperlink>
        </w:p>
        <w:p w14:paraId="0BA5B481" w14:textId="77777777" w:rsidR="001C184C" w:rsidRDefault="00000000">
          <w:r>
            <w:fldChar w:fldCharType="end"/>
          </w:r>
        </w:p>
      </w:sdtContent>
    </w:sdt>
    <w:p w14:paraId="5F3E165B" w14:textId="77777777" w:rsidR="007C2FE9" w:rsidRDefault="007C2FE9">
      <w:pPr>
        <w:pStyle w:val="Heading1"/>
      </w:pPr>
      <w:bookmarkStart w:id="2" w:name="_Toc233805748"/>
    </w:p>
    <w:p w14:paraId="6E470C47" w14:textId="77777777" w:rsidR="007C2FE9" w:rsidRDefault="007C2FE9">
      <w:pPr>
        <w:pStyle w:val="Heading1"/>
      </w:pPr>
    </w:p>
    <w:p w14:paraId="7299EBA4" w14:textId="77777777" w:rsidR="007C2FE9" w:rsidRDefault="007C2FE9">
      <w:pPr>
        <w:pStyle w:val="Heading1"/>
      </w:pPr>
    </w:p>
    <w:p w14:paraId="7A723D10" w14:textId="77777777" w:rsidR="007C2FE9" w:rsidRDefault="007C2FE9">
      <w:pPr>
        <w:pStyle w:val="Heading1"/>
      </w:pPr>
    </w:p>
    <w:p w14:paraId="6F374178" w14:textId="77777777" w:rsidR="0012030B" w:rsidRDefault="0012030B">
      <w:pPr>
        <w:pStyle w:val="Heading1"/>
      </w:pPr>
    </w:p>
    <w:p w14:paraId="118FD58B" w14:textId="77777777" w:rsidR="0012030B" w:rsidRDefault="0012030B">
      <w:pPr>
        <w:pStyle w:val="Heading1"/>
      </w:pPr>
    </w:p>
    <w:p w14:paraId="54E45247" w14:textId="77777777" w:rsidR="0012030B" w:rsidRDefault="0012030B">
      <w:pPr>
        <w:pStyle w:val="Heading1"/>
      </w:pPr>
    </w:p>
    <w:p w14:paraId="0FAEFC57" w14:textId="55FFE440" w:rsidR="001C184C" w:rsidRDefault="00000000">
      <w:pPr>
        <w:pStyle w:val="Heading1"/>
      </w:pPr>
      <w:r>
        <w:lastRenderedPageBreak/>
        <w:t>Acknowledgement of Country</w:t>
      </w:r>
      <w:bookmarkEnd w:id="2"/>
    </w:p>
    <w:p w14:paraId="47133D64" w14:textId="77777777" w:rsidR="001C184C" w:rsidRDefault="00000000" w:rsidP="007C2FE9">
      <w:pPr>
        <w:spacing w:after="200" w:line="360" w:lineRule="auto"/>
      </w:pPr>
      <w:r>
        <w:t>Australian Disability Network (AusDN) acknowledges the Traditional Custodians of Country throughout Australia and their continuing connection to land, waters, and community. We pay our respects to Elders past and present and extend that respect to all Aboriginal and Torres Strait Islander peoples.</w:t>
      </w:r>
    </w:p>
    <w:p w14:paraId="1DAFE86C" w14:textId="77777777" w:rsidR="001C184C" w:rsidRDefault="00000000" w:rsidP="007C2FE9">
      <w:pPr>
        <w:pStyle w:val="Heading1"/>
      </w:pPr>
      <w:bookmarkStart w:id="3" w:name="_Toc233805749"/>
      <w:r>
        <w:t>Foreword</w:t>
      </w:r>
      <w:bookmarkEnd w:id="3"/>
    </w:p>
    <w:p w14:paraId="00743162" w14:textId="77777777" w:rsidR="001C184C" w:rsidRDefault="00000000" w:rsidP="007C2FE9">
      <w:pPr>
        <w:pStyle w:val="Heading2"/>
      </w:pPr>
      <w:bookmarkStart w:id="4" w:name="_Toc233805750"/>
      <w:r>
        <w:t>Chair foreword</w:t>
      </w:r>
      <w:bookmarkEnd w:id="4"/>
    </w:p>
    <w:p w14:paraId="04972E48" w14:textId="77777777" w:rsidR="001C184C" w:rsidRDefault="00000000" w:rsidP="007C2FE9">
      <w:pPr>
        <w:spacing w:before="100" w:after="200" w:line="360" w:lineRule="auto"/>
        <w:ind w:left="480"/>
      </w:pPr>
      <w:r>
        <w:rPr>
          <w:i/>
          <w:iCs/>
        </w:rPr>
        <w:t>“The question is no longer whether to act, but how to act with confidence and consistency.”</w:t>
      </w:r>
    </w:p>
    <w:p w14:paraId="36D7440B" w14:textId="77777777" w:rsidR="001C184C" w:rsidRDefault="00000000" w:rsidP="007C2FE9">
      <w:pPr>
        <w:spacing w:after="200" w:line="360" w:lineRule="auto"/>
      </w:pPr>
      <w:r>
        <w:t>Australia is at an important moment for disability inclusion. Organisations increasingly recognise that accessible, inclusive workplaces are not just the right thing to do, they are good for business, good for communities, and good for Australia’s economic future. The question is no longer whether to act, but how to act with confidence and consistency.</w:t>
      </w:r>
    </w:p>
    <w:p w14:paraId="7B5A2EB2" w14:textId="77777777" w:rsidR="001C184C" w:rsidRDefault="00000000" w:rsidP="007C2FE9">
      <w:pPr>
        <w:spacing w:after="200" w:line="360" w:lineRule="auto"/>
      </w:pPr>
      <w:r>
        <w:t>Our Board brings together expertise spanning people and culture, finance, governance, sustainability, risk, policy, and disability advocacy. Board members have led inclusion agendas inside some of Australia’s largest organisations, and several bring lived experience of disability to the table. In developing this strategy, we drew on all of that to ask the right questions, test our assumptions, and ensure our direction reflects both the complexity of the challenge and the real needs of our members.</w:t>
      </w:r>
    </w:p>
    <w:p w14:paraId="4DBE554E" w14:textId="77777777" w:rsidR="001C184C" w:rsidRDefault="00000000" w:rsidP="007C2FE9">
      <w:pPr>
        <w:spacing w:after="200" w:line="360" w:lineRule="auto"/>
      </w:pPr>
      <w:r>
        <w:t>What we have agreed on is a strategy that is clear, practical, and ambitious in the right ways.</w:t>
      </w:r>
    </w:p>
    <w:p w14:paraId="19DB67E1" w14:textId="77777777" w:rsidR="001C184C" w:rsidRDefault="00000000" w:rsidP="007C2FE9">
      <w:pPr>
        <w:spacing w:after="200" w:line="360" w:lineRule="auto"/>
      </w:pPr>
      <w:r>
        <w:t>Our vision remains a disability inclusive Australia, achieved through our purpose of building organisational capability to include people with disability.</w:t>
      </w:r>
    </w:p>
    <w:p w14:paraId="112CF4B7" w14:textId="77777777" w:rsidR="001C184C" w:rsidRDefault="00000000" w:rsidP="007C2FE9">
      <w:pPr>
        <w:spacing w:after="200" w:line="360" w:lineRule="auto"/>
      </w:pPr>
      <w:r>
        <w:t xml:space="preserve">This strategy reflects where we believe employer-led action can make the greatest </w:t>
      </w:r>
      <w:proofErr w:type="gramStart"/>
      <w:r>
        <w:t>difference, and</w:t>
      </w:r>
      <w:proofErr w:type="gramEnd"/>
      <w:r>
        <w:t xml:space="preserve"> identifies the initiatives most likely to move the dial for our members and for the people their organisations employ, serve, and welcome.</w:t>
      </w:r>
    </w:p>
    <w:p w14:paraId="04B4B905" w14:textId="77777777" w:rsidR="001C184C" w:rsidRDefault="00000000" w:rsidP="007C2FE9">
      <w:pPr>
        <w:spacing w:after="200" w:line="360" w:lineRule="auto"/>
      </w:pPr>
      <w:r>
        <w:t xml:space="preserve">From a decade of experience in my role as Chair of AusDN, I have seen what is possible when business commits seriously to inclusion. The ambition in this strategy is grounded in that </w:t>
      </w:r>
      <w:r>
        <w:lastRenderedPageBreak/>
        <w:t>experience. It recognises that we are not starting from scratch, we are building on a strong foundation, and it sets out where we need to go next.</w:t>
      </w:r>
    </w:p>
    <w:p w14:paraId="242AB28F" w14:textId="77777777" w:rsidR="001C184C" w:rsidRDefault="00000000" w:rsidP="007C2FE9">
      <w:pPr>
        <w:spacing w:after="200" w:line="360" w:lineRule="auto"/>
      </w:pPr>
      <w:r>
        <w:t>I am grateful to my fellow Board members for the care and rigour they brought to this process, and to our CEO and the team for translating that input into a strategy we can all stand behind. I look forward to seeing it delivered.</w:t>
      </w:r>
    </w:p>
    <w:p w14:paraId="1510E534" w14:textId="77777777" w:rsidR="001C184C" w:rsidRDefault="00000000" w:rsidP="007C2FE9">
      <w:pPr>
        <w:spacing w:line="360" w:lineRule="auto"/>
      </w:pPr>
      <w:r>
        <w:t>Peter Wilson AM</w:t>
      </w:r>
    </w:p>
    <w:p w14:paraId="4435B9C8" w14:textId="77777777" w:rsidR="001C184C" w:rsidRDefault="00000000" w:rsidP="007C2FE9">
      <w:pPr>
        <w:spacing w:after="200" w:line="360" w:lineRule="auto"/>
      </w:pPr>
      <w:r>
        <w:t>Chair</w:t>
      </w:r>
    </w:p>
    <w:p w14:paraId="5C2508D8" w14:textId="77777777" w:rsidR="001C184C" w:rsidRDefault="00000000" w:rsidP="007C2FE9">
      <w:pPr>
        <w:pStyle w:val="Heading2"/>
        <w:spacing w:line="360" w:lineRule="auto"/>
      </w:pPr>
      <w:bookmarkStart w:id="5" w:name="_Toc233805751"/>
      <w:r>
        <w:t>CEO foreword</w:t>
      </w:r>
      <w:bookmarkEnd w:id="5"/>
    </w:p>
    <w:p w14:paraId="13D1227C" w14:textId="77777777" w:rsidR="001C184C" w:rsidRDefault="00000000" w:rsidP="007C2FE9">
      <w:pPr>
        <w:spacing w:before="100" w:after="200" w:line="360" w:lineRule="auto"/>
        <w:ind w:left="480"/>
      </w:pPr>
      <w:r>
        <w:rPr>
          <w:i/>
          <w:iCs/>
        </w:rPr>
        <w:t>“Disability inclusion is now understood as business critical, not optional.”</w:t>
      </w:r>
    </w:p>
    <w:p w14:paraId="5924A49F" w14:textId="77777777" w:rsidR="001C184C" w:rsidRDefault="00000000" w:rsidP="007C2FE9">
      <w:pPr>
        <w:spacing w:after="200" w:line="360" w:lineRule="auto"/>
      </w:pPr>
      <w:r>
        <w:t>Building on the direction Peter has set out, I want to share how we will deliver it. We’ve consistently heard from members, leaders, and people with lived experience, that disability inclusion is now understood as business critical, not optional. Expectations are rising, and organisations are seeking practical, scalable solutions to move beyond activity towards measurable impact.</w:t>
      </w:r>
    </w:p>
    <w:p w14:paraId="6DCC3CBA" w14:textId="77777777" w:rsidR="001C184C" w:rsidRDefault="00000000" w:rsidP="007C2FE9">
      <w:pPr>
        <w:spacing w:after="200" w:line="360" w:lineRule="auto"/>
      </w:pPr>
      <w:r>
        <w:t>This strategy is our response. It sets out how we will fulfil our purpose over the coming years: building organisational capability to achieve inclusion of people with disability. It reflects months of careful thinking, honest conversations with our members, and a clear view of where our network can have the greatest impact.</w:t>
      </w:r>
    </w:p>
    <w:p w14:paraId="4F42AB06" w14:textId="77777777" w:rsidR="001C184C" w:rsidRDefault="00000000" w:rsidP="007C2FE9">
      <w:pPr>
        <w:spacing w:after="200" w:line="360" w:lineRule="auto"/>
      </w:pPr>
      <w:r>
        <w:t>The strategy rests on three pillars. We will expand our reach, growing the breadth of our network through new connection opportunities, a partnership model, and pathways for small and medium-sized businesses to join our community.</w:t>
      </w:r>
    </w:p>
    <w:p w14:paraId="4BA7DDF8" w14:textId="77777777" w:rsidR="001C184C" w:rsidRDefault="00000000" w:rsidP="007C2FE9">
      <w:pPr>
        <w:spacing w:after="200" w:line="360" w:lineRule="auto"/>
      </w:pPr>
      <w:r>
        <w:t>We will drive depth of change, supporting organisations to embed inclusion through executive leadership, practical tools and resources, flagship programs, and guidance on emerging areas like AI and disability inclusion.</w:t>
      </w:r>
    </w:p>
    <w:p w14:paraId="01FB564E" w14:textId="77777777" w:rsidR="001C184C" w:rsidRDefault="00000000" w:rsidP="007C2FE9">
      <w:pPr>
        <w:spacing w:after="200" w:line="360" w:lineRule="auto"/>
      </w:pPr>
      <w:r>
        <w:t>And we will create systemic impact, positioning AusDN as the authoritative voice of business on disability inclusion, informing policy, influencing government, and capturing the evidence that demonstrates what is possible.</w:t>
      </w:r>
    </w:p>
    <w:p w14:paraId="222A8E55" w14:textId="77777777" w:rsidR="001C184C" w:rsidRDefault="00000000" w:rsidP="007C2FE9">
      <w:pPr>
        <w:spacing w:after="200" w:line="360" w:lineRule="auto"/>
      </w:pPr>
      <w:r>
        <w:lastRenderedPageBreak/>
        <w:t>These three pillars are brought to life through four focus areas, Network, Leadership, Solutions, and Voice, each with a clear set of initiatives and outcomes. Underpinning all of this is a commitment to strengthening our own foundations, so we can deliver and measure what we achieve.</w:t>
      </w:r>
    </w:p>
    <w:p w14:paraId="55A31BDC" w14:textId="77777777" w:rsidR="001C184C" w:rsidRDefault="00000000" w:rsidP="007C2FE9">
      <w:pPr>
        <w:spacing w:after="200" w:line="360" w:lineRule="auto"/>
      </w:pPr>
      <w:r>
        <w:t>Peter has spoken of our vision of a disability inclusive Australia. The path to that vision runs through the organisations that make up our network, and through the practical work this strategy sets in motion.</w:t>
      </w:r>
    </w:p>
    <w:p w14:paraId="6D70B49D" w14:textId="77777777" w:rsidR="001C184C" w:rsidRDefault="00000000" w:rsidP="007C2FE9">
      <w:pPr>
        <w:spacing w:after="200" w:line="360" w:lineRule="auto"/>
      </w:pPr>
      <w:r>
        <w:t>I am grateful to our members, partners, and champions who make this network what it is.</w:t>
      </w:r>
    </w:p>
    <w:p w14:paraId="17CDE83E" w14:textId="77777777" w:rsidR="001C184C" w:rsidRDefault="00000000" w:rsidP="007C2FE9">
      <w:pPr>
        <w:spacing w:line="360" w:lineRule="auto"/>
      </w:pPr>
      <w:r>
        <w:t>Amy Whalley</w:t>
      </w:r>
    </w:p>
    <w:p w14:paraId="51535A14" w14:textId="77777777" w:rsidR="001C184C" w:rsidRDefault="00000000" w:rsidP="007C2FE9">
      <w:pPr>
        <w:spacing w:after="200" w:line="360" w:lineRule="auto"/>
      </w:pPr>
      <w:r>
        <w:t>Chief Executive Officer</w:t>
      </w:r>
    </w:p>
    <w:p w14:paraId="569B5D92" w14:textId="77777777" w:rsidR="001C184C" w:rsidRDefault="00000000" w:rsidP="007C2FE9">
      <w:pPr>
        <w:pStyle w:val="Heading1"/>
        <w:spacing w:line="360" w:lineRule="auto"/>
      </w:pPr>
      <w:bookmarkStart w:id="6" w:name="_Toc233805752"/>
      <w:r>
        <w:t>Our vision and purpose</w:t>
      </w:r>
      <w:bookmarkEnd w:id="6"/>
    </w:p>
    <w:p w14:paraId="21618FF2" w14:textId="77777777" w:rsidR="001C184C" w:rsidRDefault="00000000" w:rsidP="007C2FE9">
      <w:pPr>
        <w:pStyle w:val="Heading2"/>
        <w:spacing w:line="360" w:lineRule="auto"/>
      </w:pPr>
      <w:bookmarkStart w:id="7" w:name="_Toc233805753"/>
      <w:r>
        <w:t>Our vision</w:t>
      </w:r>
      <w:bookmarkEnd w:id="7"/>
    </w:p>
    <w:p w14:paraId="36DBEB97" w14:textId="77777777" w:rsidR="001C184C" w:rsidRDefault="00000000" w:rsidP="007C2FE9">
      <w:pPr>
        <w:spacing w:after="200" w:line="360" w:lineRule="auto"/>
      </w:pPr>
      <w:r>
        <w:t>A Disability Inclusive Australia</w:t>
      </w:r>
    </w:p>
    <w:p w14:paraId="2DE9CDEF" w14:textId="77777777" w:rsidR="001C184C" w:rsidRDefault="00000000" w:rsidP="007C2FE9">
      <w:pPr>
        <w:pStyle w:val="Heading2"/>
        <w:spacing w:line="360" w:lineRule="auto"/>
      </w:pPr>
      <w:bookmarkStart w:id="8" w:name="_Toc233805754"/>
      <w:r>
        <w:t>Our purpose</w:t>
      </w:r>
      <w:bookmarkEnd w:id="8"/>
    </w:p>
    <w:p w14:paraId="7D8E07A3" w14:textId="77777777" w:rsidR="001C184C" w:rsidRDefault="00000000" w:rsidP="007C2FE9">
      <w:pPr>
        <w:spacing w:after="200" w:line="360" w:lineRule="auto"/>
      </w:pPr>
      <w:r>
        <w:t>We build organisational capability to achieve inclusion of people with disability.</w:t>
      </w:r>
    </w:p>
    <w:p w14:paraId="4CC7F2CC" w14:textId="77777777" w:rsidR="001C184C" w:rsidRDefault="00000000" w:rsidP="007C2FE9">
      <w:pPr>
        <w:pStyle w:val="Heading1"/>
        <w:spacing w:line="360" w:lineRule="auto"/>
      </w:pPr>
      <w:bookmarkStart w:id="9" w:name="_Toc233805755"/>
      <w:r>
        <w:t>Our values</w:t>
      </w:r>
      <w:bookmarkEnd w:id="9"/>
    </w:p>
    <w:p w14:paraId="2DBA5C3E" w14:textId="77777777" w:rsidR="001C184C" w:rsidRDefault="00000000" w:rsidP="007C2FE9">
      <w:pPr>
        <w:pStyle w:val="Heading2"/>
        <w:spacing w:line="360" w:lineRule="auto"/>
      </w:pPr>
      <w:bookmarkStart w:id="10" w:name="_Toc233805756"/>
      <w:r>
        <w:t>Together we thrive</w:t>
      </w:r>
      <w:bookmarkEnd w:id="10"/>
    </w:p>
    <w:p w14:paraId="61719216" w14:textId="77777777" w:rsidR="001C184C" w:rsidRDefault="00000000" w:rsidP="007C2FE9">
      <w:pPr>
        <w:spacing w:after="200" w:line="360" w:lineRule="auto"/>
      </w:pPr>
      <w:r>
        <w:t>Building trust through integrity, transparency and collaboration.</w:t>
      </w:r>
    </w:p>
    <w:p w14:paraId="5CFE2E7B" w14:textId="77777777" w:rsidR="001C184C" w:rsidRDefault="00000000" w:rsidP="007C2FE9">
      <w:pPr>
        <w:pStyle w:val="ListParagraph"/>
        <w:numPr>
          <w:ilvl w:val="0"/>
          <w:numId w:val="2"/>
        </w:numPr>
        <w:spacing w:after="100" w:line="360" w:lineRule="auto"/>
      </w:pPr>
      <w:r>
        <w:t>Integrity</w:t>
      </w:r>
    </w:p>
    <w:p w14:paraId="1E4A1262" w14:textId="77777777" w:rsidR="001C184C" w:rsidRDefault="00000000" w:rsidP="007C2FE9">
      <w:pPr>
        <w:pStyle w:val="ListParagraph"/>
        <w:numPr>
          <w:ilvl w:val="0"/>
          <w:numId w:val="2"/>
        </w:numPr>
        <w:spacing w:after="100" w:line="360" w:lineRule="auto"/>
      </w:pPr>
      <w:r>
        <w:t>Trust</w:t>
      </w:r>
    </w:p>
    <w:p w14:paraId="1AAFEA15" w14:textId="77777777" w:rsidR="001C184C" w:rsidRDefault="00000000" w:rsidP="007C2FE9">
      <w:pPr>
        <w:pStyle w:val="ListParagraph"/>
        <w:numPr>
          <w:ilvl w:val="0"/>
          <w:numId w:val="2"/>
        </w:numPr>
        <w:spacing w:after="100" w:line="360" w:lineRule="auto"/>
      </w:pPr>
      <w:r>
        <w:t>Transparency</w:t>
      </w:r>
    </w:p>
    <w:p w14:paraId="69B3EF1C" w14:textId="77777777" w:rsidR="001C184C" w:rsidRDefault="00000000" w:rsidP="007C2FE9">
      <w:pPr>
        <w:pStyle w:val="ListParagraph"/>
        <w:numPr>
          <w:ilvl w:val="0"/>
          <w:numId w:val="2"/>
        </w:numPr>
        <w:spacing w:after="100" w:line="360" w:lineRule="auto"/>
      </w:pPr>
      <w:r>
        <w:t>Collaboration</w:t>
      </w:r>
    </w:p>
    <w:p w14:paraId="36E8E9F4" w14:textId="77777777" w:rsidR="001C184C" w:rsidRDefault="00000000" w:rsidP="007C2FE9">
      <w:pPr>
        <w:pStyle w:val="Heading2"/>
        <w:spacing w:line="360" w:lineRule="auto"/>
      </w:pPr>
      <w:bookmarkStart w:id="11" w:name="_Toc233805757"/>
      <w:r>
        <w:lastRenderedPageBreak/>
        <w:t>Together we grow</w:t>
      </w:r>
      <w:bookmarkEnd w:id="11"/>
    </w:p>
    <w:p w14:paraId="2063F4E2" w14:textId="77777777" w:rsidR="001C184C" w:rsidRDefault="00000000" w:rsidP="007C2FE9">
      <w:pPr>
        <w:spacing w:after="200" w:line="360" w:lineRule="auto"/>
      </w:pPr>
      <w:r>
        <w:t>Embracing courage, curiosity and continuous learning.</w:t>
      </w:r>
    </w:p>
    <w:p w14:paraId="35B64144" w14:textId="77777777" w:rsidR="001C184C" w:rsidRDefault="00000000" w:rsidP="007C2FE9">
      <w:pPr>
        <w:pStyle w:val="ListParagraph"/>
        <w:numPr>
          <w:ilvl w:val="0"/>
          <w:numId w:val="2"/>
        </w:numPr>
        <w:spacing w:after="100" w:line="360" w:lineRule="auto"/>
      </w:pPr>
      <w:r>
        <w:t>Growth mindset</w:t>
      </w:r>
    </w:p>
    <w:p w14:paraId="2BF2AC44" w14:textId="77777777" w:rsidR="001C184C" w:rsidRDefault="00000000" w:rsidP="007C2FE9">
      <w:pPr>
        <w:pStyle w:val="ListParagraph"/>
        <w:numPr>
          <w:ilvl w:val="0"/>
          <w:numId w:val="2"/>
        </w:numPr>
        <w:spacing w:after="100" w:line="360" w:lineRule="auto"/>
      </w:pPr>
      <w:r>
        <w:t>Adaptability</w:t>
      </w:r>
    </w:p>
    <w:p w14:paraId="17C76906" w14:textId="77777777" w:rsidR="001C184C" w:rsidRDefault="00000000" w:rsidP="007C2FE9">
      <w:pPr>
        <w:pStyle w:val="ListParagraph"/>
        <w:numPr>
          <w:ilvl w:val="0"/>
          <w:numId w:val="2"/>
        </w:numPr>
        <w:spacing w:after="100" w:line="360" w:lineRule="auto"/>
      </w:pPr>
      <w:r>
        <w:t>Courage</w:t>
      </w:r>
    </w:p>
    <w:p w14:paraId="5814C71F" w14:textId="77777777" w:rsidR="001C184C" w:rsidRDefault="00000000" w:rsidP="007C2FE9">
      <w:pPr>
        <w:pStyle w:val="ListParagraph"/>
        <w:numPr>
          <w:ilvl w:val="0"/>
          <w:numId w:val="2"/>
        </w:numPr>
        <w:spacing w:after="100" w:line="360" w:lineRule="auto"/>
      </w:pPr>
      <w:r>
        <w:t>Curiosity</w:t>
      </w:r>
    </w:p>
    <w:p w14:paraId="3027D617" w14:textId="77777777" w:rsidR="001C184C" w:rsidRDefault="00000000" w:rsidP="007C2FE9">
      <w:pPr>
        <w:pStyle w:val="Heading2"/>
        <w:spacing w:line="360" w:lineRule="auto"/>
      </w:pPr>
      <w:bookmarkStart w:id="12" w:name="_Toc233805758"/>
      <w:r>
        <w:t>Together we achieve</w:t>
      </w:r>
      <w:bookmarkEnd w:id="12"/>
    </w:p>
    <w:p w14:paraId="034D046E" w14:textId="77777777" w:rsidR="001C184C" w:rsidRDefault="00000000" w:rsidP="007C2FE9">
      <w:pPr>
        <w:spacing w:after="200" w:line="360" w:lineRule="auto"/>
      </w:pPr>
      <w:r>
        <w:t>Delivering excellence through inclusive, purpose-driven action.</w:t>
      </w:r>
    </w:p>
    <w:p w14:paraId="3CAF9BCB" w14:textId="77777777" w:rsidR="001C184C" w:rsidRDefault="00000000" w:rsidP="007C2FE9">
      <w:pPr>
        <w:pStyle w:val="ListParagraph"/>
        <w:numPr>
          <w:ilvl w:val="0"/>
          <w:numId w:val="2"/>
        </w:numPr>
        <w:spacing w:after="100" w:line="360" w:lineRule="auto"/>
      </w:pPr>
      <w:r>
        <w:t>Purpose-driven</w:t>
      </w:r>
    </w:p>
    <w:p w14:paraId="37F89E8E" w14:textId="77777777" w:rsidR="001C184C" w:rsidRDefault="00000000" w:rsidP="007C2FE9">
      <w:pPr>
        <w:pStyle w:val="ListParagraph"/>
        <w:numPr>
          <w:ilvl w:val="0"/>
          <w:numId w:val="2"/>
        </w:numPr>
        <w:spacing w:after="100" w:line="360" w:lineRule="auto"/>
      </w:pPr>
      <w:r>
        <w:t>Inclusivity</w:t>
      </w:r>
    </w:p>
    <w:p w14:paraId="57E775F7" w14:textId="77777777" w:rsidR="001C184C" w:rsidRDefault="00000000" w:rsidP="007C2FE9">
      <w:pPr>
        <w:pStyle w:val="ListParagraph"/>
        <w:numPr>
          <w:ilvl w:val="0"/>
          <w:numId w:val="2"/>
        </w:numPr>
        <w:spacing w:after="100" w:line="360" w:lineRule="auto"/>
      </w:pPr>
      <w:r>
        <w:t>Accessibility</w:t>
      </w:r>
    </w:p>
    <w:p w14:paraId="65A57067" w14:textId="77777777" w:rsidR="001C184C" w:rsidRDefault="00000000" w:rsidP="007C2FE9">
      <w:pPr>
        <w:pStyle w:val="ListParagraph"/>
        <w:numPr>
          <w:ilvl w:val="0"/>
          <w:numId w:val="2"/>
        </w:numPr>
        <w:spacing w:after="100" w:line="360" w:lineRule="auto"/>
      </w:pPr>
      <w:r>
        <w:t>Excellence</w:t>
      </w:r>
    </w:p>
    <w:p w14:paraId="16D5F9EF" w14:textId="77777777" w:rsidR="001C184C" w:rsidRDefault="00000000" w:rsidP="007C2FE9">
      <w:pPr>
        <w:pStyle w:val="ListParagraph"/>
        <w:numPr>
          <w:ilvl w:val="0"/>
          <w:numId w:val="2"/>
        </w:numPr>
        <w:spacing w:after="100" w:line="360" w:lineRule="auto"/>
      </w:pPr>
      <w:r>
        <w:t>Innovation</w:t>
      </w:r>
    </w:p>
    <w:p w14:paraId="29E2097C" w14:textId="77777777" w:rsidR="001C184C" w:rsidRDefault="001C184C" w:rsidP="007C2FE9">
      <w:pPr>
        <w:pageBreakBefore/>
        <w:spacing w:line="360" w:lineRule="auto"/>
      </w:pPr>
    </w:p>
    <w:p w14:paraId="5F92B4B5" w14:textId="77777777" w:rsidR="001C184C" w:rsidRDefault="00000000" w:rsidP="007C2FE9">
      <w:pPr>
        <w:pStyle w:val="Heading1"/>
        <w:spacing w:line="360" w:lineRule="auto"/>
      </w:pPr>
      <w:bookmarkStart w:id="13" w:name="_Toc233805759"/>
      <w:r>
        <w:t>Our strategy</w:t>
      </w:r>
      <w:bookmarkEnd w:id="13"/>
    </w:p>
    <w:p w14:paraId="1A2B7BB7" w14:textId="77777777" w:rsidR="001C184C" w:rsidRDefault="00000000" w:rsidP="007C2FE9">
      <w:pPr>
        <w:pStyle w:val="Heading2"/>
        <w:spacing w:line="360" w:lineRule="auto"/>
      </w:pPr>
      <w:bookmarkStart w:id="14" w:name="_Toc233805760"/>
      <w:r>
        <w:t>Strategy on a page</w:t>
      </w:r>
      <w:bookmarkEnd w:id="14"/>
    </w:p>
    <w:p w14:paraId="1135EDE8" w14:textId="77777777" w:rsidR="001C184C" w:rsidRDefault="00000000" w:rsidP="007C2FE9">
      <w:pPr>
        <w:spacing w:after="200" w:line="360" w:lineRule="auto"/>
      </w:pPr>
      <w:r>
        <w:t>Vision: A Disability Inclusive Australia</w:t>
      </w:r>
    </w:p>
    <w:p w14:paraId="5CF48943" w14:textId="77777777" w:rsidR="001C184C" w:rsidRDefault="00000000" w:rsidP="007C2FE9">
      <w:pPr>
        <w:spacing w:after="200" w:line="360" w:lineRule="auto"/>
      </w:pPr>
      <w:r>
        <w:t>Purpose: We build organisational capability to achieve inclusion of people with disability</w:t>
      </w:r>
    </w:p>
    <w:p w14:paraId="2C42C115" w14:textId="77777777" w:rsidR="001C184C" w:rsidRDefault="00000000" w:rsidP="007C2FE9">
      <w:pPr>
        <w:pStyle w:val="Heading3"/>
        <w:spacing w:line="360" w:lineRule="auto"/>
      </w:pPr>
      <w:bookmarkStart w:id="15" w:name="_Toc233805761"/>
      <w:r>
        <w:t>Pillars</w:t>
      </w:r>
      <w:bookmarkEnd w:id="15"/>
    </w:p>
    <w:p w14:paraId="17F61221" w14:textId="77777777" w:rsidR="001C184C" w:rsidRDefault="00000000" w:rsidP="007C2FE9">
      <w:pPr>
        <w:pStyle w:val="ListParagraph"/>
        <w:numPr>
          <w:ilvl w:val="0"/>
          <w:numId w:val="2"/>
        </w:numPr>
        <w:spacing w:after="100" w:line="360" w:lineRule="auto"/>
      </w:pPr>
      <w:r>
        <w:t>Expand our reach: AusDN reaches across industries, sectors and locations to enable a broad and diverse network focused on disability inclusion.</w:t>
      </w:r>
    </w:p>
    <w:p w14:paraId="56224B1D" w14:textId="77777777" w:rsidR="001C184C" w:rsidRDefault="00000000" w:rsidP="007C2FE9">
      <w:pPr>
        <w:pStyle w:val="ListParagraph"/>
        <w:numPr>
          <w:ilvl w:val="0"/>
          <w:numId w:val="2"/>
        </w:numPr>
        <w:spacing w:after="100" w:line="360" w:lineRule="auto"/>
      </w:pPr>
      <w:r>
        <w:t xml:space="preserve">Drive depth of change: AusDN helps embed disability inclusion in </w:t>
      </w:r>
      <w:proofErr w:type="gramStart"/>
      <w:r>
        <w:t>organisations</w:t>
      </w:r>
      <w:proofErr w:type="gramEnd"/>
      <w:r>
        <w:t xml:space="preserve"> so products, services and workplaces are accessible by default.</w:t>
      </w:r>
    </w:p>
    <w:p w14:paraId="7CA86A2D" w14:textId="77777777" w:rsidR="001C184C" w:rsidRDefault="00000000" w:rsidP="007C2FE9">
      <w:pPr>
        <w:pStyle w:val="ListParagraph"/>
        <w:numPr>
          <w:ilvl w:val="0"/>
          <w:numId w:val="2"/>
        </w:numPr>
        <w:spacing w:after="100" w:line="360" w:lineRule="auto"/>
      </w:pPr>
      <w:r>
        <w:t>Create systemic impact: AusDN members drive organisational change, policy reform and social impact for disability inclusion.</w:t>
      </w:r>
    </w:p>
    <w:p w14:paraId="63FE4DF6" w14:textId="77777777" w:rsidR="001C184C" w:rsidRDefault="00000000" w:rsidP="007C2FE9">
      <w:pPr>
        <w:pStyle w:val="Heading3"/>
        <w:spacing w:line="360" w:lineRule="auto"/>
      </w:pPr>
      <w:bookmarkStart w:id="16" w:name="_Toc233805762"/>
      <w:r>
        <w:t>Objectives</w:t>
      </w:r>
      <w:bookmarkEnd w:id="16"/>
    </w:p>
    <w:p w14:paraId="2E01BBE5" w14:textId="77777777" w:rsidR="001C184C" w:rsidRDefault="00000000" w:rsidP="007C2FE9">
      <w:pPr>
        <w:pStyle w:val="ListParagraph"/>
        <w:numPr>
          <w:ilvl w:val="0"/>
          <w:numId w:val="2"/>
        </w:numPr>
        <w:spacing w:after="100" w:line="360" w:lineRule="auto"/>
      </w:pPr>
      <w:r>
        <w:t>Network: Grow the knowledge, influence and connection of our network</w:t>
      </w:r>
    </w:p>
    <w:p w14:paraId="13921EC1" w14:textId="77777777" w:rsidR="001C184C" w:rsidRDefault="00000000" w:rsidP="007C2FE9">
      <w:pPr>
        <w:pStyle w:val="ListParagraph"/>
        <w:numPr>
          <w:ilvl w:val="0"/>
          <w:numId w:val="2"/>
        </w:numPr>
        <w:spacing w:after="100" w:line="360" w:lineRule="auto"/>
      </w:pPr>
      <w:r>
        <w:t>Leadership: Increase executive commitment and accountability</w:t>
      </w:r>
    </w:p>
    <w:p w14:paraId="67B28E6E" w14:textId="77777777" w:rsidR="001C184C" w:rsidRDefault="00000000" w:rsidP="007C2FE9">
      <w:pPr>
        <w:pStyle w:val="ListParagraph"/>
        <w:numPr>
          <w:ilvl w:val="0"/>
          <w:numId w:val="2"/>
        </w:numPr>
        <w:spacing w:after="100" w:line="360" w:lineRule="auto"/>
      </w:pPr>
      <w:r>
        <w:t>Solutions: Enable organisations to include customers, candidates and employees with disability</w:t>
      </w:r>
    </w:p>
    <w:p w14:paraId="480EF444" w14:textId="77777777" w:rsidR="001C184C" w:rsidRDefault="00000000" w:rsidP="007C2FE9">
      <w:pPr>
        <w:pStyle w:val="ListParagraph"/>
        <w:numPr>
          <w:ilvl w:val="0"/>
          <w:numId w:val="2"/>
        </w:numPr>
        <w:spacing w:after="100" w:line="360" w:lineRule="auto"/>
      </w:pPr>
      <w:r>
        <w:t>Voice: Inform and influence disability inclusion policy</w:t>
      </w:r>
    </w:p>
    <w:p w14:paraId="00BDBA89" w14:textId="77777777" w:rsidR="001C184C" w:rsidRDefault="00000000" w:rsidP="007C2FE9">
      <w:pPr>
        <w:pStyle w:val="Heading3"/>
        <w:spacing w:line="360" w:lineRule="auto"/>
      </w:pPr>
      <w:bookmarkStart w:id="17" w:name="_Toc233805763"/>
      <w:r>
        <w:t>Enablers</w:t>
      </w:r>
      <w:bookmarkEnd w:id="17"/>
    </w:p>
    <w:p w14:paraId="09A9C77B" w14:textId="77777777" w:rsidR="001C184C" w:rsidRDefault="00000000" w:rsidP="007C2FE9">
      <w:pPr>
        <w:pStyle w:val="ListParagraph"/>
        <w:numPr>
          <w:ilvl w:val="0"/>
          <w:numId w:val="2"/>
        </w:numPr>
        <w:spacing w:after="100" w:line="360" w:lineRule="auto"/>
      </w:pPr>
      <w:r>
        <w:t>Financial viability and resilience: Ensure our membership model, pricing and revenue streams reflect full value and support financial sustainability.</w:t>
      </w:r>
    </w:p>
    <w:p w14:paraId="51566584" w14:textId="77777777" w:rsidR="001C184C" w:rsidRDefault="00000000" w:rsidP="007C2FE9">
      <w:pPr>
        <w:pStyle w:val="ListParagraph"/>
        <w:numPr>
          <w:ilvl w:val="0"/>
          <w:numId w:val="2"/>
        </w:numPr>
        <w:spacing w:after="100" w:line="360" w:lineRule="auto"/>
      </w:pPr>
      <w:r>
        <w:t>Values and people development: Embed revised values and establish a performance framework to sustain culture and a thriving team.</w:t>
      </w:r>
    </w:p>
    <w:p w14:paraId="7A816841" w14:textId="77777777" w:rsidR="001C184C" w:rsidRDefault="00000000" w:rsidP="007C2FE9">
      <w:pPr>
        <w:pStyle w:val="ListParagraph"/>
        <w:numPr>
          <w:ilvl w:val="0"/>
          <w:numId w:val="2"/>
        </w:numPr>
        <w:spacing w:after="100" w:line="360" w:lineRule="auto"/>
      </w:pPr>
      <w:r>
        <w:t>Impact measurement framework: Develop the methods, systems and tools to measure and report on our impact for internal and external audiences.</w:t>
      </w:r>
    </w:p>
    <w:p w14:paraId="51899254" w14:textId="77777777" w:rsidR="001C184C" w:rsidRDefault="00000000" w:rsidP="007C2FE9">
      <w:pPr>
        <w:pStyle w:val="ListParagraph"/>
        <w:numPr>
          <w:ilvl w:val="0"/>
          <w:numId w:val="2"/>
        </w:numPr>
        <w:spacing w:after="100" w:line="360" w:lineRule="auto"/>
      </w:pPr>
      <w:r>
        <w:lastRenderedPageBreak/>
        <w:t>Tech and digital infrastructure uplift: Ensure our technology and digital infrastructure is fit for purpose and the team is equipped to use it effectively.</w:t>
      </w:r>
    </w:p>
    <w:p w14:paraId="25BF7F27" w14:textId="77777777" w:rsidR="001C184C" w:rsidRDefault="00000000" w:rsidP="007C2FE9">
      <w:pPr>
        <w:pStyle w:val="Heading2"/>
        <w:spacing w:line="360" w:lineRule="auto"/>
      </w:pPr>
      <w:bookmarkStart w:id="18" w:name="_Toc233805764"/>
      <w:r>
        <w:t>Network</w:t>
      </w:r>
      <w:bookmarkEnd w:id="18"/>
    </w:p>
    <w:p w14:paraId="3E7DBE74" w14:textId="77777777" w:rsidR="001C184C" w:rsidRDefault="00000000" w:rsidP="007C2FE9">
      <w:pPr>
        <w:spacing w:after="200" w:line="360" w:lineRule="auto"/>
      </w:pPr>
      <w:r>
        <w:t>Grow the knowledge, influence and connection of our network.</w:t>
      </w:r>
    </w:p>
    <w:p w14:paraId="79004653" w14:textId="77777777" w:rsidR="001C184C" w:rsidRDefault="00000000" w:rsidP="007C2FE9">
      <w:pPr>
        <w:pStyle w:val="Heading3"/>
        <w:spacing w:line="360" w:lineRule="auto"/>
      </w:pPr>
      <w:bookmarkStart w:id="19" w:name="_Toc233805765"/>
      <w:r>
        <w:t>1.1 Expand our connection program</w:t>
      </w:r>
      <w:bookmarkEnd w:id="19"/>
    </w:p>
    <w:p w14:paraId="1A96C45B" w14:textId="77777777" w:rsidR="001C184C" w:rsidRDefault="00000000" w:rsidP="007C2FE9">
      <w:pPr>
        <w:spacing w:after="200" w:line="360" w:lineRule="auto"/>
      </w:pPr>
      <w:r>
        <w:t>Expand and formalise our connection program through an enhanced events calendar and establish topic-based communities of practice that enable structured peer learning and shared problem solving.</w:t>
      </w:r>
    </w:p>
    <w:p w14:paraId="24F7A79C" w14:textId="77777777" w:rsidR="001C184C" w:rsidRDefault="00000000" w:rsidP="007C2FE9">
      <w:pPr>
        <w:pStyle w:val="Heading3"/>
        <w:spacing w:line="360" w:lineRule="auto"/>
      </w:pPr>
      <w:bookmarkStart w:id="20" w:name="_Toc233805766"/>
      <w:r>
        <w:t>1.2 Develop a partnership model and offering</w:t>
      </w:r>
      <w:bookmarkEnd w:id="20"/>
    </w:p>
    <w:p w14:paraId="4BE5C943" w14:textId="77777777" w:rsidR="001C184C" w:rsidRDefault="00000000" w:rsidP="007C2FE9">
      <w:pPr>
        <w:spacing w:after="200" w:line="360" w:lineRule="auto"/>
      </w:pPr>
      <w:r>
        <w:t>Develop a partnership model with clear categories and partner offers that can be leveraged to address key problems for our members.</w:t>
      </w:r>
    </w:p>
    <w:p w14:paraId="4966F504" w14:textId="77777777" w:rsidR="001C184C" w:rsidRDefault="00000000" w:rsidP="007C2FE9">
      <w:pPr>
        <w:pStyle w:val="Heading3"/>
        <w:spacing w:line="360" w:lineRule="auto"/>
      </w:pPr>
      <w:bookmarkStart w:id="21" w:name="_Toc233805767"/>
      <w:r>
        <w:t>1.3 Create a small to medium size business offering</w:t>
      </w:r>
      <w:bookmarkEnd w:id="21"/>
    </w:p>
    <w:p w14:paraId="0DD286F4" w14:textId="77777777" w:rsidR="001C184C" w:rsidRDefault="00000000" w:rsidP="007C2FE9">
      <w:pPr>
        <w:spacing w:after="200" w:line="360" w:lineRule="auto"/>
      </w:pPr>
      <w:r>
        <w:t>Create a membership offering or access to knowledge program for small to medium size business to expand our reach and impact.</w:t>
      </w:r>
    </w:p>
    <w:p w14:paraId="608FF2B7" w14:textId="77777777" w:rsidR="001C184C" w:rsidRDefault="00000000" w:rsidP="007C2FE9">
      <w:pPr>
        <w:pStyle w:val="Heading2"/>
        <w:spacing w:line="360" w:lineRule="auto"/>
      </w:pPr>
      <w:bookmarkStart w:id="22" w:name="_Toc233805768"/>
      <w:r>
        <w:t>Leadership</w:t>
      </w:r>
      <w:bookmarkEnd w:id="22"/>
    </w:p>
    <w:p w14:paraId="0D5F398A" w14:textId="77777777" w:rsidR="001C184C" w:rsidRDefault="00000000" w:rsidP="007C2FE9">
      <w:pPr>
        <w:spacing w:after="200" w:line="360" w:lineRule="auto"/>
      </w:pPr>
      <w:r>
        <w:t>Increase executive commitment and accountability.</w:t>
      </w:r>
    </w:p>
    <w:p w14:paraId="192F1B8E" w14:textId="77777777" w:rsidR="001C184C" w:rsidRDefault="00000000" w:rsidP="007C2FE9">
      <w:pPr>
        <w:pStyle w:val="Heading3"/>
        <w:spacing w:line="360" w:lineRule="auto"/>
      </w:pPr>
      <w:bookmarkStart w:id="23" w:name="_Toc233805769"/>
      <w:r>
        <w:t>2.1 Elevate the Champions Network</w:t>
      </w:r>
      <w:bookmarkEnd w:id="23"/>
    </w:p>
    <w:p w14:paraId="3F40E7CF" w14:textId="77777777" w:rsidR="001C184C" w:rsidRDefault="00000000" w:rsidP="007C2FE9">
      <w:pPr>
        <w:spacing w:after="200" w:line="360" w:lineRule="auto"/>
      </w:pPr>
      <w:r>
        <w:t>Elevate the Champions Network into a high-commitment peer community for executive sponsors, with shared accountability, structured knowledge exchange and visible leadership from mature Champions.</w:t>
      </w:r>
    </w:p>
    <w:p w14:paraId="3809C625" w14:textId="77777777" w:rsidR="001C184C" w:rsidRDefault="00000000" w:rsidP="007C2FE9">
      <w:pPr>
        <w:pStyle w:val="Heading3"/>
        <w:spacing w:line="360" w:lineRule="auto"/>
      </w:pPr>
      <w:bookmarkStart w:id="24" w:name="_Toc233805770"/>
      <w:r>
        <w:t>2.2 Develop executive onboarding experience and training</w:t>
      </w:r>
      <w:bookmarkEnd w:id="24"/>
    </w:p>
    <w:p w14:paraId="6A033A07" w14:textId="77777777" w:rsidR="001C184C" w:rsidRDefault="00000000" w:rsidP="007C2FE9">
      <w:pPr>
        <w:spacing w:after="200" w:line="360" w:lineRule="auto"/>
      </w:pPr>
      <w:r>
        <w:t>Develop structured CEO/exec engagement and onboarding experience, including intro briefing, AusDN CEO connection, and tailored training.</w:t>
      </w:r>
    </w:p>
    <w:p w14:paraId="18D60E6A" w14:textId="77777777" w:rsidR="001C184C" w:rsidRDefault="00000000" w:rsidP="007C2FE9">
      <w:pPr>
        <w:pStyle w:val="Heading3"/>
        <w:spacing w:line="360" w:lineRule="auto"/>
      </w:pPr>
      <w:bookmarkStart w:id="25" w:name="_Toc233805771"/>
      <w:r>
        <w:t>2.3 Modernise the business case and demonstrate return on investment (ROI)</w:t>
      </w:r>
      <w:bookmarkEnd w:id="25"/>
    </w:p>
    <w:p w14:paraId="66F3B340" w14:textId="77777777" w:rsidR="001C184C" w:rsidRDefault="00000000" w:rsidP="007C2FE9">
      <w:pPr>
        <w:spacing w:after="200" w:line="360" w:lineRule="auto"/>
      </w:pPr>
      <w:r>
        <w:lastRenderedPageBreak/>
        <w:t>Equip members to build and demonstrate the business case for disability inclusion providing performance metrics, self-serve measurement tools and ESG-aligned reporting resources that make the value of inclusion visible and credible.</w:t>
      </w:r>
    </w:p>
    <w:p w14:paraId="16D1C121" w14:textId="77777777" w:rsidR="001C184C" w:rsidRDefault="00000000" w:rsidP="007C2FE9">
      <w:pPr>
        <w:pStyle w:val="Heading2"/>
        <w:spacing w:line="360" w:lineRule="auto"/>
      </w:pPr>
      <w:bookmarkStart w:id="26" w:name="_Toc233805772"/>
      <w:r>
        <w:t>Solutions</w:t>
      </w:r>
      <w:bookmarkEnd w:id="26"/>
    </w:p>
    <w:p w14:paraId="07EADB32" w14:textId="77777777" w:rsidR="001C184C" w:rsidRDefault="00000000" w:rsidP="007C2FE9">
      <w:pPr>
        <w:spacing w:after="200" w:line="360" w:lineRule="auto"/>
      </w:pPr>
      <w:r>
        <w:t>Enable organisations to include customers, candidates and employees with disability.</w:t>
      </w:r>
    </w:p>
    <w:p w14:paraId="57E7B639" w14:textId="77777777" w:rsidR="001C184C" w:rsidRDefault="00000000" w:rsidP="007C2FE9">
      <w:pPr>
        <w:pStyle w:val="Heading3"/>
        <w:spacing w:line="360" w:lineRule="auto"/>
      </w:pPr>
      <w:bookmarkStart w:id="27" w:name="_Toc233805773"/>
      <w:r>
        <w:t>3.1 Evolve and modularise the Access and Inclusion Index</w:t>
      </w:r>
      <w:bookmarkEnd w:id="27"/>
    </w:p>
    <w:p w14:paraId="6F469739" w14:textId="77777777" w:rsidR="001C184C" w:rsidRDefault="00000000" w:rsidP="007C2FE9">
      <w:pPr>
        <w:spacing w:after="200" w:line="360" w:lineRule="auto"/>
      </w:pPr>
      <w:r>
        <w:t>Evolve the Access and Inclusion Index into a practical diagnostic and planning tool that is easier to complete, adaptable to the needs of different industries and sectors, and embedded throughout the member journey.</w:t>
      </w:r>
    </w:p>
    <w:p w14:paraId="022462D7" w14:textId="77777777" w:rsidR="001C184C" w:rsidRDefault="00000000" w:rsidP="007C2FE9">
      <w:pPr>
        <w:pStyle w:val="Heading3"/>
        <w:spacing w:line="360" w:lineRule="auto"/>
      </w:pPr>
      <w:bookmarkStart w:id="28" w:name="_Toc233805774"/>
      <w:r>
        <w:t>3.2 Refresh and grow learning offering</w:t>
      </w:r>
      <w:bookmarkEnd w:id="28"/>
    </w:p>
    <w:p w14:paraId="48F092C5" w14:textId="77777777" w:rsidR="001C184C" w:rsidRDefault="00000000" w:rsidP="007C2FE9">
      <w:pPr>
        <w:spacing w:after="200" w:line="360" w:lineRule="auto"/>
      </w:pPr>
      <w:r>
        <w:t>Revitalise and expand our learning and resource offering, updating facilitated training, eLearning UX and content depth, and broadening resources to cover a wider range of topics.</w:t>
      </w:r>
    </w:p>
    <w:p w14:paraId="503B600B" w14:textId="77777777" w:rsidR="001C184C" w:rsidRDefault="00000000" w:rsidP="007C2FE9">
      <w:pPr>
        <w:pStyle w:val="Heading3"/>
        <w:spacing w:line="360" w:lineRule="auto"/>
      </w:pPr>
      <w:bookmarkStart w:id="29" w:name="_Toc233805775"/>
      <w:r>
        <w:t>3.3 Enhance and sustain flagship programs</w:t>
      </w:r>
      <w:bookmarkEnd w:id="29"/>
    </w:p>
    <w:p w14:paraId="10E053A0" w14:textId="77777777" w:rsidR="001C184C" w:rsidRDefault="00000000" w:rsidP="007C2FE9">
      <w:pPr>
        <w:spacing w:after="200" w:line="360" w:lineRule="auto"/>
      </w:pPr>
      <w:r>
        <w:t>Strengthen and sustain our flagship programs, reviewing the internship, mentoring and Disability Confident Recruiter (DCR) offerings to ensure they remain relevant, financially viable and deliver a seamless experience for members and participants.</w:t>
      </w:r>
    </w:p>
    <w:p w14:paraId="08F4DB7F" w14:textId="77777777" w:rsidR="001C184C" w:rsidRDefault="00000000" w:rsidP="007C2FE9">
      <w:pPr>
        <w:pStyle w:val="Heading3"/>
        <w:spacing w:line="360" w:lineRule="auto"/>
      </w:pPr>
      <w:bookmarkStart w:id="30" w:name="_Toc233805776"/>
      <w:r>
        <w:t>3.4 Curate AI and disability inclusion guidance</w:t>
      </w:r>
      <w:bookmarkEnd w:id="30"/>
    </w:p>
    <w:p w14:paraId="34955DB8" w14:textId="77777777" w:rsidR="001C184C" w:rsidRDefault="00000000" w:rsidP="007C2FE9">
      <w:pPr>
        <w:spacing w:after="200" w:line="360" w:lineRule="auto"/>
      </w:pPr>
      <w:r>
        <w:t>Position AusDN as a trusted source on AI and disability inclusion, working with specialist partners to develop and curate practical, evidence-based guidance that helps members implement AI responsibly and accessibly.</w:t>
      </w:r>
    </w:p>
    <w:p w14:paraId="613939BA" w14:textId="77777777" w:rsidR="001C184C" w:rsidRDefault="00000000" w:rsidP="007C2FE9">
      <w:pPr>
        <w:pStyle w:val="Heading2"/>
        <w:spacing w:line="360" w:lineRule="auto"/>
      </w:pPr>
      <w:bookmarkStart w:id="31" w:name="_Toc233805777"/>
      <w:r>
        <w:t>Voice</w:t>
      </w:r>
      <w:bookmarkEnd w:id="31"/>
    </w:p>
    <w:p w14:paraId="6B688543" w14:textId="77777777" w:rsidR="001C184C" w:rsidRDefault="00000000" w:rsidP="007C2FE9">
      <w:pPr>
        <w:spacing w:after="200" w:line="360" w:lineRule="auto"/>
      </w:pPr>
      <w:r>
        <w:t>Inform and influence disability inclusion policy.</w:t>
      </w:r>
    </w:p>
    <w:p w14:paraId="23CD3C60" w14:textId="77777777" w:rsidR="001C184C" w:rsidRDefault="00000000" w:rsidP="007C2FE9">
      <w:pPr>
        <w:pStyle w:val="Heading3"/>
        <w:spacing w:line="360" w:lineRule="auto"/>
      </w:pPr>
      <w:bookmarkStart w:id="32" w:name="_Toc233805778"/>
      <w:r>
        <w:t>4.1 Develop policy and government engagement roadmap</w:t>
      </w:r>
      <w:bookmarkEnd w:id="32"/>
    </w:p>
    <w:p w14:paraId="1391EB0C" w14:textId="77777777" w:rsidR="001C184C" w:rsidRDefault="00000000" w:rsidP="007C2FE9">
      <w:pPr>
        <w:spacing w:after="200" w:line="360" w:lineRule="auto"/>
      </w:pPr>
      <w:r>
        <w:lastRenderedPageBreak/>
        <w:t>Develop a government engagement roadmap that positions AusDN as the authoritative voice of business on disability inclusion, mapping the policy landscape and actively pursuing formal advisory roles and influence opportunities.</w:t>
      </w:r>
    </w:p>
    <w:p w14:paraId="5FF2D95D" w14:textId="77777777" w:rsidR="001C184C" w:rsidRDefault="00000000" w:rsidP="007C2FE9">
      <w:pPr>
        <w:pStyle w:val="Heading3"/>
        <w:spacing w:line="360" w:lineRule="auto"/>
      </w:pPr>
      <w:bookmarkStart w:id="33" w:name="_Toc233805779"/>
      <w:r>
        <w:t>4.2 Establish demand-led employment partnerships</w:t>
      </w:r>
      <w:bookmarkEnd w:id="33"/>
    </w:p>
    <w:p w14:paraId="0289B2DC" w14:textId="77777777" w:rsidR="001C184C" w:rsidRDefault="00000000" w:rsidP="007C2FE9">
      <w:pPr>
        <w:spacing w:after="200" w:line="360" w:lineRule="auto"/>
      </w:pPr>
      <w:r>
        <w:t>Establish strategic partnerships to advance the reach and influence of demand-led employment models, leveraging proven outcomes to attract investment and drive broader adoption across the disability employment landscape.</w:t>
      </w:r>
    </w:p>
    <w:p w14:paraId="779F4EE0" w14:textId="77777777" w:rsidR="001C184C" w:rsidRDefault="00000000" w:rsidP="007C2FE9">
      <w:pPr>
        <w:pStyle w:val="Heading3"/>
        <w:spacing w:line="360" w:lineRule="auto"/>
      </w:pPr>
      <w:bookmarkStart w:id="34" w:name="_Toc233805780"/>
      <w:r>
        <w:t>4.3 Curate evidence-based examples for change</w:t>
      </w:r>
      <w:bookmarkEnd w:id="34"/>
    </w:p>
    <w:p w14:paraId="35A1E6FB" w14:textId="77777777" w:rsidR="001C184C" w:rsidRDefault="00000000" w:rsidP="007C2FE9">
      <w:pPr>
        <w:spacing w:after="200" w:line="360" w:lineRule="auto"/>
      </w:pPr>
      <w:r>
        <w:t>Establish a systematic approach to capturing, curating and packaging impact stories and member outcomes so the case for disability inclusion is always ready when it matters most.</w:t>
      </w:r>
    </w:p>
    <w:p w14:paraId="1F27027A" w14:textId="77777777" w:rsidR="001C184C" w:rsidRDefault="001C184C" w:rsidP="007C2FE9">
      <w:pPr>
        <w:pageBreakBefore/>
        <w:spacing w:line="360" w:lineRule="auto"/>
      </w:pPr>
    </w:p>
    <w:p w14:paraId="3696CD40" w14:textId="77777777" w:rsidR="001C184C" w:rsidRDefault="00000000" w:rsidP="007C2FE9">
      <w:pPr>
        <w:pStyle w:val="Heading2"/>
        <w:spacing w:line="360" w:lineRule="auto"/>
      </w:pPr>
      <w:bookmarkStart w:id="35" w:name="_Toc233805781"/>
      <w:r>
        <w:t>Three-year delivery timeline</w:t>
      </w:r>
      <w:bookmarkEnd w:id="35"/>
    </w:p>
    <w:p w14:paraId="524CDC4D" w14:textId="77777777" w:rsidR="001C184C" w:rsidRDefault="00000000" w:rsidP="007C2FE9">
      <w:pPr>
        <w:spacing w:after="200" w:line="360" w:lineRule="auto"/>
      </w:pPr>
      <w:r>
        <w:t>The following initiatives are scheduled across Years 1, 2 and 3. The table below shows the approximate timing of each initiative, based on the timeline chart in the original strategy document. Note: because the original is presented as a visual timeline graphic rather than a data table, the exact start and end points below are an approximate reading of that chart (medium confidence) rather than exact figures stated in the source text.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1C184C" w14:paraId="2EAB20BE"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tcPr>
          <w:p w14:paraId="69AC5DD2" w14:textId="77777777" w:rsidR="001C184C" w:rsidRDefault="00000000" w:rsidP="007C2FE9">
            <w:pPr>
              <w:spacing w:line="360" w:lineRule="auto"/>
            </w:pPr>
            <w:r>
              <w:rPr>
                <w:b/>
                <w:bCs/>
              </w:rPr>
              <w:t>Initiative</w:t>
            </w:r>
          </w:p>
        </w:tc>
        <w:tc>
          <w:tcPr>
            <w:tcW w:w="236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tcPr>
          <w:p w14:paraId="1498380E" w14:textId="77777777" w:rsidR="001C184C" w:rsidRDefault="00000000" w:rsidP="007C2FE9">
            <w:pPr>
              <w:spacing w:line="360" w:lineRule="auto"/>
            </w:pPr>
            <w:r>
              <w:rPr>
                <w:b/>
                <w:bCs/>
              </w:rPr>
              <w:t>Approximate timing</w:t>
            </w:r>
          </w:p>
        </w:tc>
      </w:tr>
      <w:tr w:rsidR="001C184C" w14:paraId="2E917839"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613E094" w14:textId="77777777" w:rsidR="001C184C" w:rsidRDefault="00000000" w:rsidP="007C2FE9">
            <w:pPr>
              <w:spacing w:line="360" w:lineRule="auto"/>
            </w:pPr>
            <w:r>
              <w:t>Redesign membership model and pricing</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39B7982" w14:textId="77777777" w:rsidR="001C184C" w:rsidRDefault="00000000" w:rsidP="007C2FE9">
            <w:pPr>
              <w:spacing w:line="360" w:lineRule="auto"/>
            </w:pPr>
            <w:r>
              <w:t>Year 1</w:t>
            </w:r>
          </w:p>
        </w:tc>
      </w:tr>
      <w:tr w:rsidR="001C184C" w14:paraId="76CB5CB9"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DBDF043" w14:textId="77777777" w:rsidR="001C184C" w:rsidRDefault="00000000" w:rsidP="007C2FE9">
            <w:pPr>
              <w:spacing w:line="360" w:lineRule="auto"/>
            </w:pPr>
            <w:r>
              <w:t>Curate AI and disability inclusion guidance</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B6EDBE" w14:textId="77777777" w:rsidR="001C184C" w:rsidRDefault="00000000" w:rsidP="007C2FE9">
            <w:pPr>
              <w:spacing w:line="360" w:lineRule="auto"/>
            </w:pPr>
            <w:r>
              <w:t>Year 1</w:t>
            </w:r>
          </w:p>
        </w:tc>
      </w:tr>
      <w:tr w:rsidR="001C184C" w14:paraId="3D5AB608"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2B12914" w14:textId="77777777" w:rsidR="001C184C" w:rsidRDefault="00000000" w:rsidP="007C2FE9">
            <w:pPr>
              <w:spacing w:line="360" w:lineRule="auto"/>
            </w:pPr>
            <w:r>
              <w:t>Establish demand-led employment partnerships</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181D87C" w14:textId="77777777" w:rsidR="001C184C" w:rsidRDefault="00000000" w:rsidP="007C2FE9">
            <w:pPr>
              <w:spacing w:line="360" w:lineRule="auto"/>
            </w:pPr>
            <w:r>
              <w:t>Year 1</w:t>
            </w:r>
          </w:p>
        </w:tc>
      </w:tr>
      <w:tr w:rsidR="001C184C" w14:paraId="1811D1D5"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C063875" w14:textId="77777777" w:rsidR="001C184C" w:rsidRDefault="00000000" w:rsidP="007C2FE9">
            <w:pPr>
              <w:spacing w:line="360" w:lineRule="auto"/>
            </w:pPr>
            <w:r>
              <w:t>Refresh and grow our learning offering</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5B0BB64" w14:textId="77777777" w:rsidR="001C184C" w:rsidRDefault="00000000" w:rsidP="007C2FE9">
            <w:pPr>
              <w:spacing w:line="360" w:lineRule="auto"/>
            </w:pPr>
            <w:r>
              <w:t>Year 1–2</w:t>
            </w:r>
          </w:p>
        </w:tc>
      </w:tr>
      <w:tr w:rsidR="001C184C" w14:paraId="64619FDB"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EAB9E6F" w14:textId="77777777" w:rsidR="001C184C" w:rsidRDefault="00000000" w:rsidP="007C2FE9">
            <w:pPr>
              <w:spacing w:line="360" w:lineRule="auto"/>
            </w:pPr>
            <w:r>
              <w:t>Embed Values and Performance Framework</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8EA0229" w14:textId="77777777" w:rsidR="001C184C" w:rsidRDefault="00000000" w:rsidP="007C2FE9">
            <w:pPr>
              <w:spacing w:line="360" w:lineRule="auto"/>
            </w:pPr>
            <w:r>
              <w:t>Year 1–2</w:t>
            </w:r>
          </w:p>
        </w:tc>
      </w:tr>
      <w:tr w:rsidR="001C184C" w14:paraId="7064B3F3"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03E80E8" w14:textId="77777777" w:rsidR="001C184C" w:rsidRDefault="00000000" w:rsidP="007C2FE9">
            <w:pPr>
              <w:spacing w:line="360" w:lineRule="auto"/>
            </w:pPr>
            <w:r>
              <w:t>Develop Impact Measurement Framework</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8E410C8" w14:textId="77777777" w:rsidR="001C184C" w:rsidRDefault="00000000" w:rsidP="007C2FE9">
            <w:pPr>
              <w:spacing w:line="360" w:lineRule="auto"/>
            </w:pPr>
            <w:r>
              <w:t>Year 1–2</w:t>
            </w:r>
          </w:p>
        </w:tc>
      </w:tr>
      <w:tr w:rsidR="001C184C" w14:paraId="0A3C7F33"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25875AD" w14:textId="77777777" w:rsidR="001C184C" w:rsidRDefault="00000000" w:rsidP="007C2FE9">
            <w:pPr>
              <w:spacing w:line="360" w:lineRule="auto"/>
            </w:pPr>
            <w:r>
              <w:t>Enhance and sustain flagship programs</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6A7462F" w14:textId="77777777" w:rsidR="001C184C" w:rsidRDefault="00000000" w:rsidP="007C2FE9">
            <w:pPr>
              <w:spacing w:line="360" w:lineRule="auto"/>
            </w:pPr>
            <w:r>
              <w:t>Year 1–2</w:t>
            </w:r>
          </w:p>
        </w:tc>
      </w:tr>
      <w:tr w:rsidR="001C184C" w14:paraId="72B9A5C9"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DE88066" w14:textId="77777777" w:rsidR="001C184C" w:rsidRDefault="00000000" w:rsidP="007C2FE9">
            <w:pPr>
              <w:spacing w:line="360" w:lineRule="auto"/>
            </w:pPr>
            <w:r>
              <w:t>Evolve and modularise the Index</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B929DB9" w14:textId="77777777" w:rsidR="001C184C" w:rsidRDefault="00000000" w:rsidP="007C2FE9">
            <w:pPr>
              <w:spacing w:line="360" w:lineRule="auto"/>
            </w:pPr>
            <w:r>
              <w:t>Year 1–2</w:t>
            </w:r>
          </w:p>
        </w:tc>
      </w:tr>
      <w:tr w:rsidR="001C184C" w14:paraId="5EA4ABF4"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719F94B" w14:textId="77777777" w:rsidR="001C184C" w:rsidRDefault="00000000" w:rsidP="007C2FE9">
            <w:pPr>
              <w:spacing w:line="360" w:lineRule="auto"/>
            </w:pPr>
            <w:r>
              <w:t>Develop Executive onboarding and training</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7D9408" w14:textId="77777777" w:rsidR="001C184C" w:rsidRDefault="00000000" w:rsidP="007C2FE9">
            <w:pPr>
              <w:spacing w:line="360" w:lineRule="auto"/>
            </w:pPr>
            <w:r>
              <w:t>Year 1–2</w:t>
            </w:r>
          </w:p>
        </w:tc>
      </w:tr>
      <w:tr w:rsidR="001C184C" w14:paraId="2089B3ED"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E65A08E" w14:textId="77777777" w:rsidR="001C184C" w:rsidRDefault="00000000" w:rsidP="007C2FE9">
            <w:pPr>
              <w:spacing w:line="360" w:lineRule="auto"/>
            </w:pPr>
            <w:r>
              <w:t>Create a small to medium size business offering</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BCD5D86" w14:textId="77777777" w:rsidR="001C184C" w:rsidRDefault="00000000" w:rsidP="007C2FE9">
            <w:pPr>
              <w:spacing w:line="360" w:lineRule="auto"/>
            </w:pPr>
            <w:r>
              <w:t>Year 1–3</w:t>
            </w:r>
          </w:p>
        </w:tc>
      </w:tr>
      <w:tr w:rsidR="001C184C" w14:paraId="708DAF76"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DC84132" w14:textId="77777777" w:rsidR="001C184C" w:rsidRDefault="00000000" w:rsidP="007C2FE9">
            <w:pPr>
              <w:spacing w:line="360" w:lineRule="auto"/>
            </w:pPr>
            <w:r>
              <w:t>Develop a partnership model and offering</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679FA8C" w14:textId="77777777" w:rsidR="001C184C" w:rsidRDefault="00000000" w:rsidP="007C2FE9">
            <w:pPr>
              <w:spacing w:line="360" w:lineRule="auto"/>
            </w:pPr>
            <w:r>
              <w:t>Year 1–2/3</w:t>
            </w:r>
          </w:p>
        </w:tc>
      </w:tr>
      <w:tr w:rsidR="001C184C" w14:paraId="7E99DCB0"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6914392" w14:textId="77777777" w:rsidR="001C184C" w:rsidRDefault="00000000" w:rsidP="007C2FE9">
            <w:pPr>
              <w:spacing w:line="360" w:lineRule="auto"/>
            </w:pPr>
            <w:r>
              <w:t>Elevate the Champions Network</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DD9FBB4" w14:textId="77777777" w:rsidR="001C184C" w:rsidRDefault="00000000" w:rsidP="007C2FE9">
            <w:pPr>
              <w:spacing w:line="360" w:lineRule="auto"/>
            </w:pPr>
            <w:r>
              <w:t>Year 1–3</w:t>
            </w:r>
          </w:p>
        </w:tc>
      </w:tr>
      <w:tr w:rsidR="001C184C" w14:paraId="4738491D"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FB443E5" w14:textId="77777777" w:rsidR="001C184C" w:rsidRDefault="00000000" w:rsidP="007C2FE9">
            <w:pPr>
              <w:spacing w:line="360" w:lineRule="auto"/>
            </w:pPr>
            <w:r>
              <w:t>Expand connections and Communities of Practice (CoP)</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19DA10C" w14:textId="77777777" w:rsidR="001C184C" w:rsidRDefault="00000000" w:rsidP="007C2FE9">
            <w:pPr>
              <w:spacing w:line="360" w:lineRule="auto"/>
            </w:pPr>
            <w:r>
              <w:t>Year 1–3</w:t>
            </w:r>
          </w:p>
        </w:tc>
      </w:tr>
      <w:tr w:rsidR="001C184C" w14:paraId="6FEBB416"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559ABD6" w14:textId="77777777" w:rsidR="001C184C" w:rsidRDefault="00000000" w:rsidP="007C2FE9">
            <w:pPr>
              <w:spacing w:line="360" w:lineRule="auto"/>
            </w:pPr>
            <w:r>
              <w:t>Modernise the business case and demonstrate ROI</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C220376" w14:textId="77777777" w:rsidR="001C184C" w:rsidRDefault="00000000" w:rsidP="007C2FE9">
            <w:pPr>
              <w:spacing w:line="360" w:lineRule="auto"/>
            </w:pPr>
            <w:r>
              <w:t>Year 2–3</w:t>
            </w:r>
          </w:p>
        </w:tc>
      </w:tr>
      <w:tr w:rsidR="001C184C" w14:paraId="281A430D"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0689153" w14:textId="77777777" w:rsidR="001C184C" w:rsidRDefault="00000000" w:rsidP="007C2FE9">
            <w:pPr>
              <w:spacing w:line="360" w:lineRule="auto"/>
            </w:pPr>
            <w:r>
              <w:lastRenderedPageBreak/>
              <w:t>Develop policy and government engagement roadmap</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69BF532" w14:textId="77777777" w:rsidR="001C184C" w:rsidRDefault="00000000" w:rsidP="007C2FE9">
            <w:pPr>
              <w:spacing w:line="360" w:lineRule="auto"/>
            </w:pPr>
            <w:r>
              <w:t>Year 1–3</w:t>
            </w:r>
          </w:p>
        </w:tc>
      </w:tr>
      <w:tr w:rsidR="001C184C" w14:paraId="55B4F535"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28B12EE" w14:textId="77777777" w:rsidR="001C184C" w:rsidRDefault="00000000" w:rsidP="007C2FE9">
            <w:pPr>
              <w:spacing w:line="360" w:lineRule="auto"/>
            </w:pPr>
            <w:r>
              <w:t>Curate evidence-based examples for change</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C61F9B1" w14:textId="77777777" w:rsidR="001C184C" w:rsidRDefault="00000000" w:rsidP="007C2FE9">
            <w:pPr>
              <w:spacing w:line="360" w:lineRule="auto"/>
            </w:pPr>
            <w:r>
              <w:t>Year 1–3</w:t>
            </w:r>
          </w:p>
        </w:tc>
      </w:tr>
      <w:tr w:rsidR="001C184C" w14:paraId="17C205FB" w14:textId="77777777">
        <w:tblPrEx>
          <w:tblCellMar>
            <w:top w:w="0" w:type="dxa"/>
            <w:bottom w:w="0" w:type="dxa"/>
          </w:tblCellMar>
        </w:tblPrEx>
        <w:tc>
          <w:tcPr>
            <w:tcW w:w="70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2FE07A" w14:textId="77777777" w:rsidR="001C184C" w:rsidRDefault="00000000" w:rsidP="007C2FE9">
            <w:pPr>
              <w:spacing w:line="360" w:lineRule="auto"/>
            </w:pPr>
            <w:r>
              <w:t>Technology and digital infrastructure uplift</w:t>
            </w:r>
          </w:p>
        </w:tc>
        <w:tc>
          <w:tcPr>
            <w:tcW w:w="2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9C36337" w14:textId="77777777" w:rsidR="001C184C" w:rsidRDefault="00000000" w:rsidP="007C2FE9">
            <w:pPr>
              <w:spacing w:line="360" w:lineRule="auto"/>
            </w:pPr>
            <w:r>
              <w:t>Year 1–3</w:t>
            </w:r>
          </w:p>
        </w:tc>
      </w:tr>
    </w:tbl>
    <w:p w14:paraId="096C2F3A" w14:textId="77777777" w:rsidR="001C184C" w:rsidRDefault="001C184C" w:rsidP="007C2FE9">
      <w:pPr>
        <w:spacing w:after="200" w:line="360" w:lineRule="auto"/>
      </w:pPr>
    </w:p>
    <w:p w14:paraId="165C6AA9" w14:textId="77777777" w:rsidR="001C184C" w:rsidRDefault="001C184C" w:rsidP="007C2FE9">
      <w:pPr>
        <w:pageBreakBefore/>
        <w:spacing w:line="360" w:lineRule="auto"/>
      </w:pPr>
    </w:p>
    <w:p w14:paraId="72749DC6" w14:textId="77777777" w:rsidR="001C184C" w:rsidRDefault="00000000" w:rsidP="007C2FE9">
      <w:pPr>
        <w:pStyle w:val="Heading1"/>
        <w:spacing w:line="360" w:lineRule="auto"/>
      </w:pPr>
      <w:bookmarkStart w:id="36" w:name="_Toc233805782"/>
      <w:r>
        <w:t>About Australian Disability Network</w:t>
      </w:r>
      <w:bookmarkEnd w:id="36"/>
    </w:p>
    <w:p w14:paraId="7ED5A099" w14:textId="77777777" w:rsidR="001C184C" w:rsidRDefault="00000000" w:rsidP="007C2FE9">
      <w:pPr>
        <w:spacing w:after="200" w:line="360" w:lineRule="auto"/>
      </w:pPr>
      <w:r>
        <w:t>Australian Disability Network is Australia’s peak body for disability inclusion in the workplace. We build the capability of organisations across business, government and the not-for-profit sector to welcome and include people with disability as employees and as customers. With a network of over 450 of Australia’s leading businesses and institutions, we are the only organisation-led network in Australia focused on the inclusion of people with disability. Our insights and strategies have been shaped by two decades of consultation with members and international experts. We share this expertise to help organisations build genuine, lasting inclusion.</w:t>
      </w:r>
    </w:p>
    <w:p w14:paraId="647F0E88" w14:textId="77777777" w:rsidR="001C184C" w:rsidRDefault="00000000" w:rsidP="007C2FE9">
      <w:pPr>
        <w:spacing w:after="200" w:line="360" w:lineRule="auto"/>
      </w:pPr>
      <w:r>
        <w:t>If you need this document in an accessible format, please email us at info@ausdn.org.au.</w:t>
      </w:r>
    </w:p>
    <w:p w14:paraId="795D6878" w14:textId="77777777" w:rsidR="001C184C" w:rsidRDefault="00000000" w:rsidP="007C2FE9">
      <w:pPr>
        <w:spacing w:after="200" w:line="360" w:lineRule="auto"/>
      </w:pPr>
      <w:r>
        <w:t>(02) 8270 9200</w:t>
      </w:r>
    </w:p>
    <w:p w14:paraId="0F7DC779" w14:textId="77777777" w:rsidR="001C184C" w:rsidRDefault="00000000" w:rsidP="007C2FE9">
      <w:pPr>
        <w:spacing w:after="200" w:line="360" w:lineRule="auto"/>
      </w:pPr>
      <w:r>
        <w:t>info@AusDN.org.au</w:t>
      </w:r>
    </w:p>
    <w:p w14:paraId="675A1471" w14:textId="77777777" w:rsidR="001C184C" w:rsidRDefault="00000000" w:rsidP="007C2FE9">
      <w:pPr>
        <w:spacing w:after="200" w:line="360" w:lineRule="auto"/>
      </w:pPr>
      <w:r>
        <w:t>australiandisabilitynetwork.org.au</w:t>
      </w:r>
    </w:p>
    <w:p w14:paraId="05CF28B1" w14:textId="77777777" w:rsidR="001C184C" w:rsidRDefault="00000000" w:rsidP="007C2FE9">
      <w:pPr>
        <w:spacing w:line="360" w:lineRule="auto"/>
      </w:pPr>
      <w:r>
        <w:rPr>
          <w:sz w:val="20"/>
          <w:szCs w:val="20"/>
        </w:rPr>
        <w:t>© Copyright of Australian Disability Network 2026</w:t>
      </w:r>
    </w:p>
    <w:sectPr w:rsidR="001C184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09E3" w14:textId="77777777" w:rsidR="004320C0" w:rsidRDefault="004320C0">
      <w:r>
        <w:separator/>
      </w:r>
    </w:p>
  </w:endnote>
  <w:endnote w:type="continuationSeparator" w:id="0">
    <w:p w14:paraId="5409AE33" w14:textId="77777777" w:rsidR="004320C0" w:rsidRDefault="0043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47EE" w14:textId="794A022A" w:rsidR="007C2FE9" w:rsidRDefault="007C2FE9" w:rsidP="007C2FE9">
    <w:r>
      <w:rPr>
        <w:sz w:val="18"/>
        <w:szCs w:val="18"/>
      </w:rPr>
      <w:t>Australian Disability Network Strategy 2026–29</w:t>
    </w:r>
  </w:p>
  <w:p w14:paraId="7C6FE112" w14:textId="77777777" w:rsidR="001C184C" w:rsidRDefault="00000000" w:rsidP="007C2FE9">
    <w:pPr>
      <w:jc w:val="right"/>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7C2FE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5C04" w14:textId="77777777" w:rsidR="004320C0" w:rsidRDefault="004320C0">
      <w:r>
        <w:separator/>
      </w:r>
    </w:p>
  </w:footnote>
  <w:footnote w:type="continuationSeparator" w:id="0">
    <w:p w14:paraId="7B3C68E1" w14:textId="77777777" w:rsidR="004320C0" w:rsidRDefault="0043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BD5F" w14:textId="3040F8B7" w:rsidR="001C184C" w:rsidRDefault="007C2FE9">
    <w:r>
      <w:rPr>
        <w:noProof/>
        <w:sz w:val="18"/>
        <w:szCs w:val="18"/>
      </w:rPr>
      <w:drawing>
        <wp:inline distT="0" distB="0" distL="0" distR="0" wp14:anchorId="25001A00" wp14:editId="11218786">
          <wp:extent cx="2672482" cy="714375"/>
          <wp:effectExtent l="0" t="0" r="0" b="0"/>
          <wp:docPr id="1209701762" name="Picture 1" descr="AusDN ribb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1762" name="Picture 1" descr="AusDN ribbon logo"/>
                  <pic:cNvPicPr/>
                </pic:nvPicPr>
                <pic:blipFill>
                  <a:blip r:embed="rId1">
                    <a:extLst>
                      <a:ext uri="{28A0092B-C50C-407E-A947-70E740481C1C}">
                        <a14:useLocalDpi xmlns:a14="http://schemas.microsoft.com/office/drawing/2010/main" val="0"/>
                      </a:ext>
                    </a:extLst>
                  </a:blip>
                  <a:stretch>
                    <a:fillRect/>
                  </a:stretch>
                </pic:blipFill>
                <pic:spPr>
                  <a:xfrm>
                    <a:off x="0" y="0"/>
                    <a:ext cx="2686737" cy="718186"/>
                  </a:xfrm>
                  <a:prstGeom prst="rect">
                    <a:avLst/>
                  </a:prstGeom>
                </pic:spPr>
              </pic:pic>
            </a:graphicData>
          </a:graphic>
        </wp:inline>
      </w:drawing>
    </w:r>
  </w:p>
  <w:p w14:paraId="3B82EDA3" w14:textId="77777777" w:rsidR="007C2FE9" w:rsidRDefault="007C2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40D63"/>
    <w:multiLevelType w:val="hybridMultilevel"/>
    <w:tmpl w:val="85CA36E8"/>
    <w:lvl w:ilvl="0" w:tplc="B3960D56">
      <w:start w:val="1"/>
      <w:numFmt w:val="bullet"/>
      <w:lvlText w:val="●"/>
      <w:lvlJc w:val="left"/>
      <w:pPr>
        <w:ind w:left="720" w:hanging="360"/>
      </w:pPr>
    </w:lvl>
    <w:lvl w:ilvl="1" w:tplc="FA1A50E0">
      <w:start w:val="1"/>
      <w:numFmt w:val="bullet"/>
      <w:lvlText w:val="○"/>
      <w:lvlJc w:val="left"/>
      <w:pPr>
        <w:ind w:left="1440" w:hanging="360"/>
      </w:pPr>
    </w:lvl>
    <w:lvl w:ilvl="2" w:tplc="3A4C089C">
      <w:start w:val="1"/>
      <w:numFmt w:val="bullet"/>
      <w:lvlText w:val="■"/>
      <w:lvlJc w:val="left"/>
      <w:pPr>
        <w:ind w:left="2160" w:hanging="360"/>
      </w:pPr>
    </w:lvl>
    <w:lvl w:ilvl="3" w:tplc="9E186C48">
      <w:start w:val="1"/>
      <w:numFmt w:val="bullet"/>
      <w:lvlText w:val="●"/>
      <w:lvlJc w:val="left"/>
      <w:pPr>
        <w:ind w:left="2880" w:hanging="360"/>
      </w:pPr>
    </w:lvl>
    <w:lvl w:ilvl="4" w:tplc="6A48D78A">
      <w:start w:val="1"/>
      <w:numFmt w:val="bullet"/>
      <w:lvlText w:val="○"/>
      <w:lvlJc w:val="left"/>
      <w:pPr>
        <w:ind w:left="3600" w:hanging="360"/>
      </w:pPr>
    </w:lvl>
    <w:lvl w:ilvl="5" w:tplc="6742A648">
      <w:start w:val="1"/>
      <w:numFmt w:val="bullet"/>
      <w:lvlText w:val="■"/>
      <w:lvlJc w:val="left"/>
      <w:pPr>
        <w:ind w:left="4320" w:hanging="360"/>
      </w:pPr>
    </w:lvl>
    <w:lvl w:ilvl="6" w:tplc="C0727052">
      <w:start w:val="1"/>
      <w:numFmt w:val="bullet"/>
      <w:lvlText w:val="●"/>
      <w:lvlJc w:val="left"/>
      <w:pPr>
        <w:ind w:left="5040" w:hanging="360"/>
      </w:pPr>
    </w:lvl>
    <w:lvl w:ilvl="7" w:tplc="5BD2EBF4">
      <w:start w:val="1"/>
      <w:numFmt w:val="bullet"/>
      <w:lvlText w:val="●"/>
      <w:lvlJc w:val="left"/>
      <w:pPr>
        <w:ind w:left="5760" w:hanging="360"/>
      </w:pPr>
    </w:lvl>
    <w:lvl w:ilvl="8" w:tplc="929292E0">
      <w:start w:val="1"/>
      <w:numFmt w:val="bullet"/>
      <w:lvlText w:val="●"/>
      <w:lvlJc w:val="left"/>
      <w:pPr>
        <w:ind w:left="6480" w:hanging="360"/>
      </w:pPr>
    </w:lvl>
  </w:abstractNum>
  <w:abstractNum w:abstractNumId="1" w15:restartNumberingAfterBreak="0">
    <w:nsid w:val="597A6097"/>
    <w:multiLevelType w:val="hybridMultilevel"/>
    <w:tmpl w:val="B7641874"/>
    <w:lvl w:ilvl="0" w:tplc="8FAAF196">
      <w:start w:val="1"/>
      <w:numFmt w:val="bullet"/>
      <w:lvlText w:val="•"/>
      <w:lvlJc w:val="left"/>
      <w:pPr>
        <w:ind w:left="720" w:hanging="360"/>
      </w:pPr>
    </w:lvl>
    <w:lvl w:ilvl="1" w:tplc="90F8F3E2">
      <w:numFmt w:val="decimal"/>
      <w:lvlText w:val=""/>
      <w:lvlJc w:val="left"/>
    </w:lvl>
    <w:lvl w:ilvl="2" w:tplc="EC78796E">
      <w:numFmt w:val="decimal"/>
      <w:lvlText w:val=""/>
      <w:lvlJc w:val="left"/>
    </w:lvl>
    <w:lvl w:ilvl="3" w:tplc="1562D1D0">
      <w:numFmt w:val="decimal"/>
      <w:lvlText w:val=""/>
      <w:lvlJc w:val="left"/>
    </w:lvl>
    <w:lvl w:ilvl="4" w:tplc="CCBA8C6C">
      <w:numFmt w:val="decimal"/>
      <w:lvlText w:val=""/>
      <w:lvlJc w:val="left"/>
    </w:lvl>
    <w:lvl w:ilvl="5" w:tplc="9A6489EA">
      <w:numFmt w:val="decimal"/>
      <w:lvlText w:val=""/>
      <w:lvlJc w:val="left"/>
    </w:lvl>
    <w:lvl w:ilvl="6" w:tplc="42865E72">
      <w:numFmt w:val="decimal"/>
      <w:lvlText w:val=""/>
      <w:lvlJc w:val="left"/>
    </w:lvl>
    <w:lvl w:ilvl="7" w:tplc="CFBA9362">
      <w:numFmt w:val="decimal"/>
      <w:lvlText w:val=""/>
      <w:lvlJc w:val="left"/>
    </w:lvl>
    <w:lvl w:ilvl="8" w:tplc="7EECA004">
      <w:numFmt w:val="decimal"/>
      <w:lvlText w:val=""/>
      <w:lvlJc w:val="left"/>
    </w:lvl>
  </w:abstractNum>
  <w:num w:numId="1" w16cid:durableId="287859240">
    <w:abstractNumId w:val="0"/>
    <w:lvlOverride w:ilvl="0">
      <w:startOverride w:val="1"/>
    </w:lvlOverride>
  </w:num>
  <w:num w:numId="2" w16cid:durableId="202212764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4C"/>
    <w:rsid w:val="0012030B"/>
    <w:rsid w:val="001C184C"/>
    <w:rsid w:val="004320C0"/>
    <w:rsid w:val="007C2FE9"/>
    <w:rsid w:val="009D7952"/>
    <w:rsid w:val="00D20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96B5F"/>
  <w15:docId w15:val="{39537CD4-0FBC-4F7E-BB38-3E2D31A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20"/>
      <w:outlineLvl w:val="0"/>
    </w:pPr>
    <w:rPr>
      <w:b/>
      <w:bCs/>
      <w:sz w:val="32"/>
      <w:szCs w:val="32"/>
    </w:rPr>
  </w:style>
  <w:style w:type="paragraph" w:styleId="Heading2">
    <w:name w:val="heading 2"/>
    <w:uiPriority w:val="9"/>
    <w:unhideWhenUsed/>
    <w:qFormat/>
    <w:pPr>
      <w:spacing w:before="260" w:after="160"/>
      <w:outlineLvl w:val="1"/>
    </w:pPr>
    <w:rPr>
      <w:b/>
      <w:bCs/>
      <w:sz w:val="26"/>
      <w:szCs w:val="26"/>
    </w:rPr>
  </w:style>
  <w:style w:type="paragraph" w:styleId="Heading3">
    <w:name w:val="heading 3"/>
    <w:uiPriority w:val="9"/>
    <w:unhideWhenUsed/>
    <w:qFormat/>
    <w:pPr>
      <w:spacing w:before="200" w:after="12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outlineLvl w:val="0"/>
    </w:pPr>
    <w:rPr>
      <w:b/>
      <w:bCs/>
      <w:sz w:val="44"/>
      <w:szCs w:val="44"/>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7C2FE9"/>
    <w:pPr>
      <w:tabs>
        <w:tab w:val="right" w:leader="dot" w:pos="9350"/>
      </w:tabs>
      <w:spacing w:after="100"/>
    </w:pPr>
  </w:style>
  <w:style w:type="paragraph" w:styleId="TOC2">
    <w:name w:val="toc 2"/>
    <w:basedOn w:val="Normal"/>
    <w:next w:val="Normal"/>
    <w:autoRedefine/>
    <w:uiPriority w:val="39"/>
    <w:unhideWhenUsed/>
    <w:rsid w:val="007C2FE9"/>
    <w:pPr>
      <w:spacing w:after="100"/>
      <w:ind w:left="220"/>
    </w:pPr>
  </w:style>
  <w:style w:type="paragraph" w:styleId="TOC3">
    <w:name w:val="toc 3"/>
    <w:basedOn w:val="Normal"/>
    <w:next w:val="Normal"/>
    <w:autoRedefine/>
    <w:uiPriority w:val="39"/>
    <w:unhideWhenUsed/>
    <w:rsid w:val="007C2FE9"/>
    <w:pPr>
      <w:spacing w:after="100"/>
      <w:ind w:left="440"/>
    </w:pPr>
  </w:style>
  <w:style w:type="paragraph" w:styleId="Header">
    <w:name w:val="header"/>
    <w:basedOn w:val="Normal"/>
    <w:link w:val="HeaderChar"/>
    <w:uiPriority w:val="99"/>
    <w:unhideWhenUsed/>
    <w:rsid w:val="007C2FE9"/>
    <w:pPr>
      <w:tabs>
        <w:tab w:val="center" w:pos="4513"/>
        <w:tab w:val="right" w:pos="9026"/>
      </w:tabs>
    </w:pPr>
  </w:style>
  <w:style w:type="character" w:customStyle="1" w:styleId="HeaderChar">
    <w:name w:val="Header Char"/>
    <w:basedOn w:val="DefaultParagraphFont"/>
    <w:link w:val="Header"/>
    <w:uiPriority w:val="99"/>
    <w:rsid w:val="007C2FE9"/>
  </w:style>
  <w:style w:type="paragraph" w:styleId="Footer">
    <w:name w:val="footer"/>
    <w:basedOn w:val="Normal"/>
    <w:link w:val="FooterChar"/>
    <w:uiPriority w:val="99"/>
    <w:unhideWhenUsed/>
    <w:rsid w:val="007C2FE9"/>
    <w:pPr>
      <w:tabs>
        <w:tab w:val="center" w:pos="4513"/>
        <w:tab w:val="right" w:pos="9026"/>
      </w:tabs>
    </w:pPr>
  </w:style>
  <w:style w:type="character" w:customStyle="1" w:styleId="FooterChar">
    <w:name w:val="Footer Char"/>
    <w:basedOn w:val="DefaultParagraphFont"/>
    <w:link w:val="Footer"/>
    <w:uiPriority w:val="99"/>
    <w:rsid w:val="007C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31adccbc4aa14fb902912652dc53892">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99cb0f694109a18e571cdc2d0f2057b7"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documentManagement>
</p:properties>
</file>

<file path=customXml/itemProps1.xml><?xml version="1.0" encoding="utf-8"?>
<ds:datastoreItem xmlns:ds="http://schemas.openxmlformats.org/officeDocument/2006/customXml" ds:itemID="{4D7F13D2-D031-449F-B729-573779CC30B7}"/>
</file>

<file path=customXml/itemProps2.xml><?xml version="1.0" encoding="utf-8"?>
<ds:datastoreItem xmlns:ds="http://schemas.openxmlformats.org/officeDocument/2006/customXml" ds:itemID="{008E4982-FF58-4E10-A6B7-6E653393A505}"/>
</file>

<file path=customXml/itemProps3.xml><?xml version="1.0" encoding="utf-8"?>
<ds:datastoreItem xmlns:ds="http://schemas.openxmlformats.org/officeDocument/2006/customXml" ds:itemID="{E78D9DD1-BDE5-4775-9846-509CF59A8D9A}"/>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12</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Australian Disability Network Strategy 2026-29 (Accessible Version)</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Disability Network Strategy 2026-29 (Accessible Version)</dc:title>
  <dc:creator>AusDN</dc:creator>
  <cp:lastModifiedBy>Emma Hamilton</cp:lastModifiedBy>
  <cp:revision>3</cp:revision>
  <dcterms:created xsi:type="dcterms:W3CDTF">2026-07-01T04:05:00Z</dcterms:created>
  <dcterms:modified xsi:type="dcterms:W3CDTF">2026-07-01T04:06:00Z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0x010100133BAE8F4F60FE4ABF87340F89E8B81B</vt:lpwstr>
  </property>
</Properties>
</file>